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6A47" w14:textId="78E2B3A9" w:rsidR="00CF5685" w:rsidRPr="00FB4010" w:rsidRDefault="00022EBC" w:rsidP="00022EBC">
      <w:pPr>
        <w:autoSpaceDE w:val="0"/>
        <w:autoSpaceDN w:val="0"/>
        <w:adjustRightInd w:val="0"/>
        <w:spacing w:after="240" w:line="276" w:lineRule="auto"/>
        <w:rPr>
          <w:rFonts w:ascii="Aptos" w:hAnsi="Aptos" w:cs="Calibri"/>
          <w:b/>
          <w:bCs/>
          <w:color w:val="002FA7" w:themeColor="background2"/>
          <w:sz w:val="28"/>
          <w:szCs w:val="28"/>
        </w:rPr>
      </w:pPr>
      <w:r w:rsidRPr="00FB4010">
        <w:rPr>
          <w:rFonts w:ascii="Aptos" w:hAnsi="Aptos" w:cs="Calibri"/>
          <w:b/>
          <w:bCs/>
          <w:color w:val="002FA7" w:themeColor="background2"/>
          <w:sz w:val="28"/>
          <w:szCs w:val="28"/>
        </w:rPr>
        <w:t xml:space="preserve">Performance </w:t>
      </w:r>
      <w:r>
        <w:rPr>
          <w:rFonts w:ascii="Aptos" w:hAnsi="Aptos" w:cs="Calibri"/>
          <w:b/>
          <w:bCs/>
          <w:color w:val="002FA7" w:themeColor="background2"/>
          <w:sz w:val="28"/>
          <w:szCs w:val="28"/>
        </w:rPr>
        <w:t>a</w:t>
      </w:r>
      <w:r w:rsidRPr="00FB4010">
        <w:rPr>
          <w:rFonts w:ascii="Aptos" w:hAnsi="Aptos" w:cs="Calibri"/>
          <w:b/>
          <w:bCs/>
          <w:color w:val="002FA7" w:themeColor="background2"/>
          <w:sz w:val="28"/>
          <w:szCs w:val="28"/>
        </w:rPr>
        <w:t>nd Outlook</w:t>
      </w:r>
    </w:p>
    <w:p w14:paraId="07F54EEE" w14:textId="77777777" w:rsidR="00E04671" w:rsidRPr="00E04671" w:rsidRDefault="00E04671" w:rsidP="00AD41EA">
      <w:pPr>
        <w:autoSpaceDE w:val="0"/>
        <w:autoSpaceDN w:val="0"/>
        <w:adjustRightInd w:val="0"/>
        <w:spacing w:before="240" w:after="240"/>
        <w:rPr>
          <w:rFonts w:cs="Calibri"/>
          <w:szCs w:val="22"/>
        </w:rPr>
      </w:pPr>
      <w:r w:rsidRPr="00E04671">
        <w:rPr>
          <w:rFonts w:cs="Calibri"/>
          <w:szCs w:val="22"/>
        </w:rPr>
        <w:t>Durante el segundo trimestre del año el fondo tuvo un retorno de 18,6%</w:t>
      </w:r>
      <w:r w:rsidRPr="00E04671">
        <w:rPr>
          <w:rFonts w:cs="Calibri"/>
          <w:szCs w:val="22"/>
          <w:vertAlign w:val="superscript"/>
        </w:rPr>
        <w:t>(1)</w:t>
      </w:r>
      <w:r w:rsidRPr="00E04671">
        <w:rPr>
          <w:rFonts w:cs="Calibri"/>
          <w:szCs w:val="22"/>
        </w:rPr>
        <w:t>. Con respecto a sectores, los principales contribuyentes al rendimiento del fondo subyacente</w:t>
      </w:r>
      <w:r w:rsidRPr="00E04671">
        <w:rPr>
          <w:rFonts w:cs="Calibri"/>
          <w:szCs w:val="22"/>
          <w:vertAlign w:val="superscript"/>
        </w:rPr>
        <w:t>(2)</w:t>
      </w:r>
      <w:r w:rsidRPr="00E04671">
        <w:rPr>
          <w:rFonts w:cs="Calibri"/>
          <w:szCs w:val="22"/>
        </w:rPr>
        <w:t xml:space="preserve"> fueron emisores en los sectores  </w:t>
      </w:r>
      <w:proofErr w:type="spellStart"/>
      <w:r w:rsidRPr="00E04671">
        <w:rPr>
          <w:rFonts w:cs="Calibri"/>
          <w:i/>
          <w:iCs/>
          <w:szCs w:val="22"/>
        </w:rPr>
        <w:t>Consumer</w:t>
      </w:r>
      <w:proofErr w:type="spellEnd"/>
      <w:r w:rsidRPr="00E04671">
        <w:rPr>
          <w:rFonts w:cs="Calibri"/>
          <w:i/>
          <w:iCs/>
          <w:szCs w:val="22"/>
        </w:rPr>
        <w:t xml:space="preserve"> </w:t>
      </w:r>
      <w:proofErr w:type="spellStart"/>
      <w:r w:rsidRPr="00E04671">
        <w:rPr>
          <w:rFonts w:cs="Calibri"/>
          <w:i/>
          <w:iCs/>
          <w:szCs w:val="22"/>
        </w:rPr>
        <w:t>Discretionary</w:t>
      </w:r>
      <w:proofErr w:type="spellEnd"/>
      <w:r w:rsidRPr="00E04671">
        <w:rPr>
          <w:rFonts w:cs="Calibri"/>
          <w:i/>
          <w:iCs/>
          <w:szCs w:val="22"/>
        </w:rPr>
        <w:t xml:space="preserve">, </w:t>
      </w:r>
      <w:proofErr w:type="spellStart"/>
      <w:r w:rsidRPr="00E04671">
        <w:rPr>
          <w:rFonts w:cs="Calibri"/>
          <w:i/>
          <w:iCs/>
          <w:szCs w:val="22"/>
        </w:rPr>
        <w:t>Consumer</w:t>
      </w:r>
      <w:proofErr w:type="spellEnd"/>
      <w:r w:rsidRPr="00E04671">
        <w:rPr>
          <w:rFonts w:cs="Calibri"/>
          <w:i/>
          <w:iCs/>
          <w:szCs w:val="22"/>
        </w:rPr>
        <w:t xml:space="preserve"> Staples </w:t>
      </w:r>
      <w:r w:rsidRPr="00E04671">
        <w:rPr>
          <w:rFonts w:cs="Calibri"/>
          <w:szCs w:val="22"/>
        </w:rPr>
        <w:t xml:space="preserve">y </w:t>
      </w:r>
      <w:proofErr w:type="spellStart"/>
      <w:r w:rsidRPr="00E04671">
        <w:rPr>
          <w:rFonts w:cs="Calibri"/>
          <w:i/>
          <w:iCs/>
          <w:szCs w:val="22"/>
        </w:rPr>
        <w:t>Financials</w:t>
      </w:r>
      <w:proofErr w:type="spellEnd"/>
      <w:r w:rsidRPr="00E04671">
        <w:rPr>
          <w:rFonts w:cs="Calibri"/>
          <w:szCs w:val="22"/>
        </w:rPr>
        <w:t xml:space="preserve">; mientras que los mayores detractores relativos fueron posiciones en los sectores de </w:t>
      </w:r>
      <w:proofErr w:type="spellStart"/>
      <w:r w:rsidRPr="00E04671">
        <w:rPr>
          <w:rFonts w:cs="Calibri"/>
          <w:i/>
          <w:iCs/>
          <w:szCs w:val="22"/>
        </w:rPr>
        <w:t>Healthcare</w:t>
      </w:r>
      <w:proofErr w:type="spellEnd"/>
      <w:r w:rsidRPr="00E04671">
        <w:rPr>
          <w:rFonts w:cs="Calibri"/>
          <w:szCs w:val="22"/>
        </w:rPr>
        <w:t xml:space="preserve"> y </w:t>
      </w:r>
      <w:proofErr w:type="spellStart"/>
      <w:r w:rsidRPr="00E04671">
        <w:rPr>
          <w:rFonts w:cs="Calibri"/>
          <w:i/>
          <w:iCs/>
          <w:szCs w:val="22"/>
        </w:rPr>
        <w:t>Materials</w:t>
      </w:r>
      <w:proofErr w:type="spellEnd"/>
      <w:r w:rsidRPr="00E04671">
        <w:rPr>
          <w:rFonts w:cs="Calibri"/>
          <w:i/>
          <w:iCs/>
          <w:szCs w:val="22"/>
        </w:rPr>
        <w:t>.</w:t>
      </w:r>
      <w:r w:rsidRPr="00E04671">
        <w:rPr>
          <w:rFonts w:cs="Calibri"/>
          <w:szCs w:val="22"/>
        </w:rPr>
        <w:t xml:space="preserve"> Con respecto a nuestras posiciones, el fondo subyacente se benefició de su exposición a Natura </w:t>
      </w:r>
      <w:proofErr w:type="spellStart"/>
      <w:r w:rsidRPr="00E04671">
        <w:rPr>
          <w:rFonts w:cs="Calibri"/>
          <w:szCs w:val="22"/>
        </w:rPr>
        <w:t>Cosmeticos</w:t>
      </w:r>
      <w:proofErr w:type="spellEnd"/>
      <w:r w:rsidRPr="00E04671">
        <w:rPr>
          <w:rFonts w:cs="Calibri"/>
          <w:i/>
          <w:iCs/>
          <w:szCs w:val="22"/>
        </w:rPr>
        <w:t xml:space="preserve"> </w:t>
      </w:r>
      <w:r w:rsidRPr="00E04671">
        <w:rPr>
          <w:rFonts w:cs="Calibri"/>
          <w:szCs w:val="22"/>
        </w:rPr>
        <w:t xml:space="preserve">tanto como a su </w:t>
      </w:r>
      <w:proofErr w:type="spellStart"/>
      <w:r w:rsidRPr="00E04671">
        <w:rPr>
          <w:rFonts w:cs="Calibri"/>
          <w:i/>
          <w:iCs/>
          <w:szCs w:val="22"/>
        </w:rPr>
        <w:t>underweight</w:t>
      </w:r>
      <w:proofErr w:type="spellEnd"/>
      <w:r w:rsidRPr="00E04671">
        <w:rPr>
          <w:rFonts w:cs="Calibri"/>
          <w:i/>
          <w:iCs/>
          <w:szCs w:val="22"/>
        </w:rPr>
        <w:t xml:space="preserve"> </w:t>
      </w:r>
      <w:r w:rsidRPr="00E04671">
        <w:rPr>
          <w:rFonts w:cs="Calibri"/>
          <w:szCs w:val="22"/>
        </w:rPr>
        <w:t xml:space="preserve">en </w:t>
      </w:r>
      <w:proofErr w:type="spellStart"/>
      <w:r w:rsidRPr="00E04671">
        <w:rPr>
          <w:rFonts w:cs="Calibri"/>
          <w:szCs w:val="22"/>
        </w:rPr>
        <w:t>Ambev</w:t>
      </w:r>
      <w:proofErr w:type="spellEnd"/>
      <w:r w:rsidRPr="00E04671">
        <w:rPr>
          <w:rFonts w:cs="Calibri"/>
          <w:szCs w:val="22"/>
        </w:rPr>
        <w:t xml:space="preserve"> y Gap, los principales detractores del fondo subyacente fueron </w:t>
      </w:r>
      <w:proofErr w:type="spellStart"/>
      <w:r w:rsidRPr="00E04671">
        <w:rPr>
          <w:rFonts w:cs="Calibri"/>
          <w:szCs w:val="22"/>
        </w:rPr>
        <w:t>Hapvida</w:t>
      </w:r>
      <w:proofErr w:type="spellEnd"/>
      <w:r w:rsidRPr="00E04671">
        <w:rPr>
          <w:rFonts w:cs="Calibri"/>
          <w:szCs w:val="22"/>
        </w:rPr>
        <w:t xml:space="preserve"> y </w:t>
      </w:r>
      <w:proofErr w:type="spellStart"/>
      <w:r w:rsidRPr="00E04671">
        <w:rPr>
          <w:rFonts w:cs="Calibri"/>
          <w:szCs w:val="22"/>
        </w:rPr>
        <w:t>Gruma</w:t>
      </w:r>
      <w:proofErr w:type="spellEnd"/>
      <w:r w:rsidRPr="00E04671">
        <w:rPr>
          <w:rFonts w:cs="Calibri"/>
          <w:szCs w:val="22"/>
        </w:rPr>
        <w:t xml:space="preserve"> tanto como su falta de exposición en Embraer. </w:t>
      </w:r>
    </w:p>
    <w:p w14:paraId="68E1C64B" w14:textId="77777777" w:rsidR="00E04671" w:rsidRPr="00E04671" w:rsidRDefault="00E04671" w:rsidP="00AD41EA">
      <w:pPr>
        <w:autoSpaceDE w:val="0"/>
        <w:autoSpaceDN w:val="0"/>
        <w:adjustRightInd w:val="0"/>
        <w:spacing w:before="240" w:after="240"/>
        <w:rPr>
          <w:rFonts w:cs="Calibri"/>
          <w:szCs w:val="22"/>
        </w:rPr>
      </w:pPr>
      <w:r w:rsidRPr="00E04671">
        <w:rPr>
          <w:rFonts w:cs="Calibri"/>
          <w:szCs w:val="22"/>
        </w:rPr>
        <w:t>El déficit comercial de bienes y servicios de EE.UU. se redujo considerablemente en abril, mientras que en junio los índices ISM de manufactura y servicios se debilitaron, con este último entrando en territorio contractivo. Las solicitudes iniciales de subsidio por desempleo alcanzaron las 247 mil en la última semana de mayo, su nivel más alto desde octubre de 2024. La tasa del bono del Tesoro a 10 años cayó 17 puntos base en junio. En el ámbito monetario, la Reserva Federal mantuvo sin cambios la tasa de interés a mediados de mes y sostuvo sus proyecciones de realizar dos recortes antes de fin de año.</w:t>
      </w:r>
    </w:p>
    <w:p w14:paraId="3881102D" w14:textId="77777777" w:rsidR="00E04671" w:rsidRPr="00E04671" w:rsidRDefault="00E04671" w:rsidP="00AD41EA">
      <w:pPr>
        <w:autoSpaceDE w:val="0"/>
        <w:autoSpaceDN w:val="0"/>
        <w:adjustRightInd w:val="0"/>
        <w:spacing w:before="240" w:after="240"/>
        <w:rPr>
          <w:rFonts w:cs="Calibri"/>
          <w:szCs w:val="22"/>
        </w:rPr>
      </w:pPr>
      <w:r w:rsidRPr="00E04671">
        <w:rPr>
          <w:rFonts w:cs="Calibri"/>
          <w:szCs w:val="22"/>
        </w:rPr>
        <w:t xml:space="preserve">Los mercados de crédito en América Latina superaron a los del universo emergente, con el índice JP Morgan CEMBI Broad </w:t>
      </w:r>
      <w:proofErr w:type="spellStart"/>
      <w:r w:rsidRPr="00E04671">
        <w:rPr>
          <w:rFonts w:cs="Calibri"/>
          <w:szCs w:val="22"/>
        </w:rPr>
        <w:t>Diversified</w:t>
      </w:r>
      <w:proofErr w:type="spellEnd"/>
      <w:r w:rsidRPr="00E04671">
        <w:rPr>
          <w:rFonts w:cs="Calibri"/>
          <w:szCs w:val="22"/>
        </w:rPr>
        <w:t xml:space="preserve"> </w:t>
      </w:r>
      <w:proofErr w:type="spellStart"/>
      <w:r w:rsidRPr="00E04671">
        <w:rPr>
          <w:rFonts w:cs="Calibri"/>
          <w:szCs w:val="22"/>
        </w:rPr>
        <w:t>Latin</w:t>
      </w:r>
      <w:proofErr w:type="spellEnd"/>
      <w:r w:rsidRPr="00E04671">
        <w:rPr>
          <w:rFonts w:cs="Calibri"/>
          <w:szCs w:val="22"/>
        </w:rPr>
        <w:t xml:space="preserve"> </w:t>
      </w:r>
      <w:proofErr w:type="spellStart"/>
      <w:r w:rsidRPr="00E04671">
        <w:rPr>
          <w:rFonts w:cs="Calibri"/>
          <w:szCs w:val="22"/>
        </w:rPr>
        <w:t>America</w:t>
      </w:r>
      <w:proofErr w:type="spellEnd"/>
      <w:r w:rsidRPr="00E04671">
        <w:rPr>
          <w:rFonts w:cs="Calibri"/>
          <w:szCs w:val="22"/>
        </w:rPr>
        <w:t xml:space="preserve"> cerrando con un alza de 1,8% en junio, frente a un avance de 1,36% del índice general de mercados emergentes. El mercado primario corporativo de emergentes registró emisiones por US$50,4 mil millones en junio, un aumento de 57,5% interanual. En América Latina, las emisiones primarias alcanzaron los US$13,5 mil millones, lo que representa un crecimiento de 227,3% respecto al año anterior.</w:t>
      </w:r>
    </w:p>
    <w:p w14:paraId="4A565B86" w14:textId="77777777" w:rsidR="00E04671" w:rsidRPr="00E04671" w:rsidRDefault="00E04671" w:rsidP="00AD41EA">
      <w:pPr>
        <w:autoSpaceDE w:val="0"/>
        <w:autoSpaceDN w:val="0"/>
        <w:adjustRightInd w:val="0"/>
        <w:spacing w:before="240" w:after="240"/>
        <w:rPr>
          <w:rFonts w:cs="Calibri"/>
          <w:szCs w:val="22"/>
        </w:rPr>
      </w:pPr>
      <w:r w:rsidRPr="00E04671">
        <w:rPr>
          <w:rFonts w:cs="Calibri"/>
          <w:szCs w:val="22"/>
        </w:rPr>
        <w:t xml:space="preserve">En Brasil, los indicadores económicos mostraron señales de desaceleración, con la producción industrial subiendo apenas un 0,1% mensual y las ventas minoristas cayendo en abril. En la misma línea, el PMI manufacturero y el índice de confianza del consumidor disminuyeron un 0,8% mensual en mayo y junio respectivamente, aunque la tasa de desempleo alcanzó su nivel más bajo desde que comenzó la serie en 2012. En materia monetaria, el banco central sorprendió al aumentar la tasa </w:t>
      </w:r>
      <w:proofErr w:type="spellStart"/>
      <w:r w:rsidRPr="00E04671">
        <w:rPr>
          <w:rFonts w:cs="Calibri"/>
          <w:szCs w:val="22"/>
        </w:rPr>
        <w:t>Selic</w:t>
      </w:r>
      <w:proofErr w:type="spellEnd"/>
      <w:r w:rsidRPr="00E04671">
        <w:rPr>
          <w:rFonts w:cs="Calibri"/>
          <w:szCs w:val="22"/>
        </w:rPr>
        <w:t xml:space="preserve"> en 25 puntos base hasta el 15,0%, motivado por proyecciones de inflación elevadas, expectativas desancladas y presiones en el mercado laboral. En el ámbito fiscal, la desaprobación de Lula subió al 56% y el sector público registró un superávit primario de 0,2% del PIB en mayo, aunque el déficit fiscal total se mantuvo alto en 7,6% debido a los pagos de intereses.</w:t>
      </w:r>
    </w:p>
    <w:p w14:paraId="0CA497D7" w14:textId="77777777" w:rsidR="00AD41EA" w:rsidRPr="00AD41EA" w:rsidRDefault="00E04671" w:rsidP="00AD41EA">
      <w:pPr>
        <w:autoSpaceDE w:val="0"/>
        <w:autoSpaceDN w:val="0"/>
        <w:adjustRightInd w:val="0"/>
        <w:spacing w:before="240" w:after="240"/>
        <w:rPr>
          <w:rFonts w:cs="Calibri"/>
          <w:szCs w:val="22"/>
        </w:rPr>
      </w:pPr>
      <w:r w:rsidRPr="00E04671">
        <w:rPr>
          <w:rFonts w:cs="Calibri"/>
          <w:szCs w:val="22"/>
        </w:rPr>
        <w:t>En México, la economía creció un 0,8% interanual en el primer trimestre de 2025, recuperándose modestamente tras la contracción del trimestre previo, aunque aún por debajo de su potencial. La balanza comercial registró un superávit de US$1.000 millones en mayo, por debajo de los US$2.000 millones del mismo mes del año anterior. La tasa de desempleo subió a 2,75% en mayo, aún baja, pero por encima de lo esperado. En lo monetario, Banxico recortó la tasa en 50 puntos base, pero indicó un enfoque más cauto hacia adelante ante el repunte de la inflación, que pasó de 3,9% interanual en abril a 4,5% a mediados de</w:t>
      </w:r>
      <w:r w:rsidR="00AD41EA">
        <w:rPr>
          <w:rFonts w:cs="Calibri"/>
          <w:szCs w:val="22"/>
        </w:rPr>
        <w:t xml:space="preserve"> </w:t>
      </w:r>
      <w:r w:rsidR="00AD41EA" w:rsidRPr="00AD41EA">
        <w:rPr>
          <w:rFonts w:cs="Calibri"/>
          <w:szCs w:val="22"/>
        </w:rPr>
        <w:t>junio, impulsada por los precios agrícolas. En el plano político, el 1 de junio México celebró su primera elección judicial, seleccionando 881 jueces, incluidos 9 ministros de la Suprema Corte, aunque la participación fue históricamente baja, en torno al 13,0%.</w:t>
      </w:r>
    </w:p>
    <w:p w14:paraId="2161CA7B" w14:textId="77777777" w:rsidR="00AD41EA" w:rsidRPr="00AD41EA" w:rsidRDefault="00AD41EA" w:rsidP="00AD41EA">
      <w:pPr>
        <w:autoSpaceDE w:val="0"/>
        <w:autoSpaceDN w:val="0"/>
        <w:adjustRightInd w:val="0"/>
        <w:spacing w:before="240" w:after="240"/>
        <w:rPr>
          <w:rFonts w:cs="Calibri"/>
          <w:szCs w:val="22"/>
        </w:rPr>
      </w:pPr>
      <w:r w:rsidRPr="00AD41EA">
        <w:rPr>
          <w:rFonts w:cs="Calibri"/>
          <w:szCs w:val="22"/>
        </w:rPr>
        <w:t xml:space="preserve">En la región andina, la economía de Chile sigue mostrando señales de recuperación moderada, mientras la balanza comercial registró un superávit de US$1.500 millones en mayo, por debajo de abril </w:t>
      </w:r>
      <w:r w:rsidRPr="00AD41EA">
        <w:rPr>
          <w:rFonts w:cs="Calibri"/>
          <w:szCs w:val="22"/>
        </w:rPr>
        <w:lastRenderedPageBreak/>
        <w:t>pero similar al de un año atrás, apoyado por un crecimiento de 4,4% en las exportaciones de cobre. La tasa de desempleo se mantuvo en 8,9%. En materia monetaria, la inflación estuvo en línea con lo esperado, con un IPC que subió 0,2% mensual en mayo, reduciendo la inflación anual a 4,4%. El Banco Central mantuvo la tasa de política en 5,0% y sugirió una transición hacia una postura neutral en los próximos trimestres. En el ámbito político, Jeannette Jara ganó la primaria del partido oficialista con el 60% de los votos, en un contexto de baja participación.</w:t>
      </w:r>
    </w:p>
    <w:p w14:paraId="3FA18D13" w14:textId="77777777" w:rsidR="00AD41EA" w:rsidRPr="00AD41EA" w:rsidRDefault="00AD41EA" w:rsidP="00AD41EA">
      <w:pPr>
        <w:autoSpaceDE w:val="0"/>
        <w:autoSpaceDN w:val="0"/>
        <w:adjustRightInd w:val="0"/>
        <w:spacing w:before="240" w:after="240"/>
        <w:rPr>
          <w:rFonts w:cs="Calibri"/>
          <w:szCs w:val="22"/>
        </w:rPr>
      </w:pPr>
      <w:r w:rsidRPr="00AD41EA">
        <w:rPr>
          <w:rFonts w:cs="Calibri"/>
          <w:szCs w:val="22"/>
        </w:rPr>
        <w:t>En Perú, la actividad económica creció 1,4% interanual en abril, por debajo de las expectativas, aunque el crecimiento acumulado en el año se mantiene sólido en 3,3%, respaldado por la maduración del ciclo económico. El Banco Central mantuvo su tasa de referencia en 4,5%, poniendo fin al ciclo de recortes iniciado en septiembre de 2024, dado que la inflación se mantiene dentro del rango meta.</w:t>
      </w:r>
    </w:p>
    <w:p w14:paraId="33ADFB2D" w14:textId="77777777" w:rsidR="00AD41EA" w:rsidRPr="00AD41EA" w:rsidRDefault="00AD41EA" w:rsidP="00AD41EA">
      <w:pPr>
        <w:autoSpaceDE w:val="0"/>
        <w:autoSpaceDN w:val="0"/>
        <w:adjustRightInd w:val="0"/>
        <w:spacing w:before="240" w:after="240"/>
        <w:rPr>
          <w:rFonts w:cs="Calibri"/>
          <w:szCs w:val="22"/>
        </w:rPr>
      </w:pPr>
      <w:r w:rsidRPr="00AD41EA">
        <w:rPr>
          <w:rFonts w:cs="Calibri"/>
          <w:szCs w:val="22"/>
        </w:rPr>
        <w:t>En Colombia, las ventas minoristas crecieron 11,4% interanual en abril, superando ampliamente las expectativas. El déficit de cuenta corriente se amplió a US$2.300 millones, equivalente al 2,2% del PIB en el primer trimestre de 2025. En lo monetario, la inflación se moderó a 5,0% interanual en mayo, favorecida por menores precios en vivienda, alimentos y servicios. Sin embargo, el Banco Central mantuvo la tasa de interés clave en 9,25%. En lo fiscal, el gobierno activó la cláusula de escape de la regla fiscal, manteniendo el déficit primario en –2,4% del PIB y elevando la proyección del déficit total a –7,1%. Como resultado, las agencias calificadoras rebajaron la nota soberana de Colombia de BB+ a BB, citando el deterioro de los indicadores fiscales.</w:t>
      </w:r>
    </w:p>
    <w:p w14:paraId="735C8876" w14:textId="3489CF0E" w:rsidR="00E01DB3" w:rsidRDefault="00AD41EA" w:rsidP="00AD41EA">
      <w:pPr>
        <w:autoSpaceDE w:val="0"/>
        <w:autoSpaceDN w:val="0"/>
        <w:adjustRightInd w:val="0"/>
        <w:spacing w:before="240" w:after="240"/>
        <w:rPr>
          <w:rFonts w:cs="Calibri"/>
          <w:szCs w:val="22"/>
        </w:rPr>
      </w:pPr>
      <w:r w:rsidRPr="00AD41EA">
        <w:rPr>
          <w:rFonts w:cs="Calibri"/>
          <w:szCs w:val="22"/>
        </w:rPr>
        <w:t>Finalmente, en Argentina la economía sorprendió al alza en el primer trimestre de 2025, con una expansión del PIB de 5,8% interanual en abril, mientras la actividad económica aumentó 7,7% en el mismo período. La balanza comercial registró un superávit de US$600 millones en mayo, muy por debajo de los US$2.650 millones del año anterior, mientras que el superávit de 12 meses cayó a 1,8% del PIB. Este cambio se debe a un alza del 39,4% interanual en las importaciones, impulsadas por la recuperación de la demanda. En lo monetario, la inflación continuó su fuerte descenso en mayo, con un IPC mensual de 1,5%, el nivel más bajo en cinco años, a pesar de la depreciación del peso bajo el nuevo régimen cambiario. En el ámbito político, el gobierno registró un superávit financiero de 0,3% del PIB en mayo. Por último, el presidente Milei propuso un proyecto de ley de “Principio de Inocencia Fiscal”, que traslada la carga de la prueba al Estado, aunque aún requiere aprobación del Congreso. Mientras tanto, la expresidenta Cristina Kirchner perdió su última apelación y vio confirmada su condena por corrupción, siendo sentenciada a seis años de arresto domiciliario y a la inhabilitación perpetua para ejercer cargos públicos</w:t>
      </w:r>
      <w:r w:rsidR="00415441" w:rsidRPr="008F6097">
        <w:rPr>
          <w:rFonts w:cs="Calibri"/>
          <w:szCs w:val="22"/>
        </w:rPr>
        <w:t>.</w:t>
      </w:r>
    </w:p>
    <w:p w14:paraId="25DFD471" w14:textId="33AE2046" w:rsidR="00AD41EA" w:rsidRPr="00AD41EA" w:rsidRDefault="00AD41EA" w:rsidP="00AD41EA">
      <w:pPr>
        <w:autoSpaceDE w:val="0"/>
        <w:autoSpaceDN w:val="0"/>
        <w:adjustRightInd w:val="0"/>
        <w:spacing w:after="300" w:line="276" w:lineRule="auto"/>
        <w:ind w:right="48"/>
        <w:rPr>
          <w:rFonts w:ascii="Aptos" w:hAnsi="Aptos" w:cs="Calibri"/>
          <w:sz w:val="16"/>
          <w:szCs w:val="16"/>
        </w:rPr>
      </w:pPr>
      <w:r w:rsidRPr="00AD41EA">
        <w:rPr>
          <w:rFonts w:cs="Calibri"/>
          <w:szCs w:val="22"/>
        </w:rPr>
        <w:t xml:space="preserve">Para mayor información de los retornos del fondo, por favor revisar su </w:t>
      </w:r>
      <w:proofErr w:type="spellStart"/>
      <w:r w:rsidRPr="00AD41EA">
        <w:rPr>
          <w:rFonts w:cs="Calibri"/>
          <w:szCs w:val="22"/>
        </w:rPr>
        <w:t>factsheet</w:t>
      </w:r>
      <w:proofErr w:type="spellEnd"/>
      <w:r w:rsidRPr="00AD41EA">
        <w:rPr>
          <w:rFonts w:cs="Calibri"/>
          <w:szCs w:val="22"/>
        </w:rPr>
        <w:t xml:space="preserve"> en el siguiente enlace:</w:t>
      </w:r>
      <w:r w:rsidRPr="00AD41EA">
        <w:rPr>
          <w:rFonts w:ascii="Aptos" w:hAnsi="Aptos" w:cs="Calibri"/>
          <w:szCs w:val="22"/>
        </w:rPr>
        <w:t xml:space="preserve"> </w:t>
      </w:r>
      <w:hyperlink r:id="rId11" w:history="1">
        <w:proofErr w:type="spellStart"/>
        <w:r w:rsidRPr="0000309D">
          <w:rPr>
            <w:rFonts w:ascii="Aptos" w:hAnsi="Aptos"/>
            <w:color w:val="002FA7" w:themeColor="background2"/>
            <w:u w:val="single"/>
          </w:rPr>
          <w:t>Compass</w:t>
        </w:r>
        <w:proofErr w:type="spellEnd"/>
        <w:r w:rsidRPr="0000309D">
          <w:rPr>
            <w:rFonts w:ascii="Aptos" w:hAnsi="Aptos"/>
            <w:color w:val="002FA7" w:themeColor="background2"/>
            <w:u w:val="single"/>
          </w:rPr>
          <w:t xml:space="preserve"> </w:t>
        </w:r>
        <w:proofErr w:type="spellStart"/>
        <w:r w:rsidRPr="0000309D">
          <w:rPr>
            <w:rFonts w:ascii="Aptos" w:hAnsi="Aptos"/>
            <w:color w:val="002FA7" w:themeColor="background2"/>
            <w:u w:val="single"/>
          </w:rPr>
          <w:t>Latam</w:t>
        </w:r>
        <w:proofErr w:type="spellEnd"/>
        <w:r w:rsidRPr="0000309D">
          <w:rPr>
            <w:rFonts w:ascii="Aptos" w:hAnsi="Aptos"/>
            <w:color w:val="002FA7" w:themeColor="background2"/>
            <w:u w:val="single"/>
          </w:rPr>
          <w:t xml:space="preserve"> </w:t>
        </w:r>
        <w:proofErr w:type="spellStart"/>
        <w:r w:rsidRPr="0000309D">
          <w:rPr>
            <w:rFonts w:ascii="Aptos" w:hAnsi="Aptos"/>
            <w:color w:val="002FA7" w:themeColor="background2"/>
            <w:u w:val="single"/>
          </w:rPr>
          <w:t>Equity</w:t>
        </w:r>
        <w:proofErr w:type="spellEnd"/>
        <w:r w:rsidRPr="0000309D">
          <w:rPr>
            <w:rFonts w:ascii="Aptos" w:hAnsi="Aptos"/>
            <w:color w:val="002FA7" w:themeColor="background2"/>
            <w:u w:val="single"/>
          </w:rPr>
          <w:t xml:space="preserve"> Fondo de Inversión | </w:t>
        </w:r>
        <w:proofErr w:type="spellStart"/>
        <w:r w:rsidRPr="0000309D">
          <w:rPr>
            <w:rFonts w:ascii="Aptos" w:hAnsi="Aptos"/>
            <w:color w:val="002FA7" w:themeColor="background2"/>
            <w:u w:val="single"/>
          </w:rPr>
          <w:t>Compass</w:t>
        </w:r>
        <w:proofErr w:type="spellEnd"/>
        <w:r w:rsidRPr="0000309D">
          <w:rPr>
            <w:rFonts w:ascii="Aptos" w:hAnsi="Aptos"/>
            <w:color w:val="002FA7" w:themeColor="background2"/>
            <w:u w:val="single"/>
          </w:rPr>
          <w:t xml:space="preserve"> </w:t>
        </w:r>
        <w:proofErr w:type="spellStart"/>
        <w:r w:rsidRPr="0000309D">
          <w:rPr>
            <w:rFonts w:ascii="Aptos" w:hAnsi="Aptos"/>
            <w:color w:val="002FA7" w:themeColor="background2"/>
            <w:u w:val="single"/>
          </w:rPr>
          <w:t>Group</w:t>
        </w:r>
        <w:proofErr w:type="spellEnd"/>
      </w:hyperlink>
      <w:r w:rsidRPr="0000309D">
        <w:rPr>
          <w:rFonts w:ascii="Aptos" w:hAnsi="Aptos" w:cs="Calibri"/>
          <w:color w:val="002FA7" w:themeColor="background2"/>
          <w:szCs w:val="22"/>
        </w:rPr>
        <w:t xml:space="preserve">   </w:t>
      </w:r>
    </w:p>
    <w:p w14:paraId="3EDFAC3F" w14:textId="77777777" w:rsidR="00AD41EA" w:rsidRDefault="00AD41EA" w:rsidP="00AD41EA">
      <w:pPr>
        <w:autoSpaceDE w:val="0"/>
        <w:autoSpaceDN w:val="0"/>
        <w:adjustRightInd w:val="0"/>
        <w:spacing w:before="240" w:after="240"/>
        <w:rPr>
          <w:rFonts w:cs="Calibri"/>
          <w:szCs w:val="22"/>
        </w:rPr>
      </w:pPr>
    </w:p>
    <w:p w14:paraId="77572348" w14:textId="77777777" w:rsidR="00740D11" w:rsidRDefault="0000309D" w:rsidP="00740D11">
      <w:pPr>
        <w:jc w:val="left"/>
        <w:rPr>
          <w:rFonts w:cs="Calibri"/>
          <w:szCs w:val="22"/>
        </w:rPr>
      </w:pPr>
      <w:r>
        <w:rPr>
          <w:rFonts w:eastAsia="Times New Roman" w:cs="Calibri"/>
          <w:noProof/>
          <w:szCs w:val="22"/>
          <w:lang w:eastAsia="es-ES_tradnl"/>
        </w:rPr>
        <mc:AlternateContent>
          <mc:Choice Requires="wpg">
            <w:drawing>
              <wp:anchor distT="0" distB="0" distL="114300" distR="114300" simplePos="0" relativeHeight="251661323" behindDoc="0" locked="0" layoutInCell="1" allowOverlap="1" wp14:anchorId="501974A1" wp14:editId="6BF88D80">
                <wp:simplePos x="0" y="0"/>
                <wp:positionH relativeFrom="column">
                  <wp:posOffset>-80010</wp:posOffset>
                </wp:positionH>
                <wp:positionV relativeFrom="paragraph">
                  <wp:posOffset>671195</wp:posOffset>
                </wp:positionV>
                <wp:extent cx="6400800" cy="517284"/>
                <wp:effectExtent l="0" t="0" r="0" b="0"/>
                <wp:wrapNone/>
                <wp:docPr id="794006821" name="Grupo 4"/>
                <wp:cNvGraphicFramePr/>
                <a:graphic xmlns:a="http://schemas.openxmlformats.org/drawingml/2006/main">
                  <a:graphicData uri="http://schemas.microsoft.com/office/word/2010/wordprocessingGroup">
                    <wpg:wgp>
                      <wpg:cNvGrpSpPr/>
                      <wpg:grpSpPr>
                        <a:xfrm>
                          <a:off x="0" y="0"/>
                          <a:ext cx="6400800" cy="517284"/>
                          <a:chOff x="0" y="0"/>
                          <a:chExt cx="6400800" cy="517284"/>
                        </a:xfrm>
                      </wpg:grpSpPr>
                      <wps:wsp>
                        <wps:cNvPr id="1125152785" name="Cuadro de texto 1125152785"/>
                        <wps:cNvSpPr txBox="1"/>
                        <wps:spPr>
                          <a:xfrm>
                            <a:off x="0" y="47296"/>
                            <a:ext cx="6400800" cy="469988"/>
                          </a:xfrm>
                          <a:prstGeom prst="rect">
                            <a:avLst/>
                          </a:prstGeom>
                          <a:noFill/>
                          <a:ln w="6350">
                            <a:noFill/>
                          </a:ln>
                        </wps:spPr>
                        <wps:txbx>
                          <w:txbxContent>
                            <w:p w14:paraId="47566E33" w14:textId="11BC9ABB" w:rsidR="00E01DB3" w:rsidRPr="0000309D" w:rsidRDefault="00E01DB3" w:rsidP="0000309D">
                              <w:pPr>
                                <w:pStyle w:val="Prrafodelista"/>
                                <w:numPr>
                                  <w:ilvl w:val="0"/>
                                  <w:numId w:val="2"/>
                                </w:numPr>
                                <w:ind w:left="142" w:right="-518" w:hanging="142"/>
                                <w:rPr>
                                  <w:rFonts w:eastAsia="Times New Roman" w:cs="Calibri"/>
                                  <w:sz w:val="14"/>
                                  <w:szCs w:val="14"/>
                                  <w:lang w:val="es-ES" w:eastAsia="es-ES_tradnl"/>
                                </w:rPr>
                              </w:pPr>
                              <w:r w:rsidRPr="007E774E">
                                <w:rPr>
                                  <w:rFonts w:ascii="Aptos" w:eastAsia="Times New Roman" w:hAnsi="Aptos" w:cs="Calibri"/>
                                  <w:b/>
                                  <w:bCs/>
                                  <w:sz w:val="14"/>
                                  <w:szCs w:val="14"/>
                                  <w:lang w:val="es-ES" w:eastAsia="es-ES_tradnl"/>
                                </w:rPr>
                                <w:t>Fuente:</w:t>
                              </w:r>
                              <w:r w:rsidRPr="00B304ED">
                                <w:rPr>
                                  <w:rFonts w:eastAsia="Times New Roman" w:cs="Calibri"/>
                                  <w:sz w:val="14"/>
                                  <w:szCs w:val="14"/>
                                  <w:lang w:val="es-ES" w:eastAsia="es-ES_tradnl"/>
                                </w:rPr>
                                <w:t xml:space="preserve"> </w:t>
                              </w:r>
                              <w:proofErr w:type="spellStart"/>
                              <w:r w:rsidR="0000309D" w:rsidRPr="0000309D">
                                <w:rPr>
                                  <w:rFonts w:eastAsia="Times New Roman" w:cs="Calibri"/>
                                  <w:sz w:val="14"/>
                                  <w:szCs w:val="14"/>
                                  <w:lang w:eastAsia="es-ES_tradnl"/>
                                </w:rPr>
                                <w:t>Compass</w:t>
                              </w:r>
                              <w:proofErr w:type="spellEnd"/>
                              <w:r w:rsidR="0000309D" w:rsidRPr="0000309D">
                                <w:rPr>
                                  <w:rFonts w:eastAsia="Times New Roman" w:cs="Calibri"/>
                                  <w:sz w:val="14"/>
                                  <w:szCs w:val="14"/>
                                  <w:lang w:eastAsia="es-ES_tradnl"/>
                                </w:rPr>
                                <w:t xml:space="preserve">, datos al 30 de junio de 2025 </w:t>
                              </w:r>
                              <w:proofErr w:type="spellStart"/>
                              <w:r w:rsidR="0000309D" w:rsidRPr="0000309D">
                                <w:rPr>
                                  <w:rFonts w:eastAsia="Times New Roman" w:cs="Calibri"/>
                                  <w:sz w:val="14"/>
                                  <w:szCs w:val="14"/>
                                  <w:lang w:eastAsia="es-ES_tradnl"/>
                                </w:rPr>
                                <w:t>Compass</w:t>
                              </w:r>
                              <w:proofErr w:type="spellEnd"/>
                              <w:r w:rsidR="0000309D" w:rsidRPr="0000309D">
                                <w:rPr>
                                  <w:rFonts w:eastAsia="Times New Roman" w:cs="Calibri"/>
                                  <w:sz w:val="14"/>
                                  <w:szCs w:val="14"/>
                                  <w:lang w:eastAsia="es-ES_tradnl"/>
                                </w:rPr>
                                <w:t xml:space="preserve"> </w:t>
                              </w:r>
                              <w:proofErr w:type="spellStart"/>
                              <w:r w:rsidR="0000309D" w:rsidRPr="0000309D">
                                <w:rPr>
                                  <w:rFonts w:eastAsia="Times New Roman" w:cs="Calibri"/>
                                  <w:sz w:val="14"/>
                                  <w:szCs w:val="14"/>
                                  <w:lang w:eastAsia="es-ES_tradnl"/>
                                </w:rPr>
                                <w:t>Latam</w:t>
                              </w:r>
                              <w:proofErr w:type="spellEnd"/>
                              <w:r w:rsidR="0000309D" w:rsidRPr="0000309D">
                                <w:rPr>
                                  <w:rFonts w:eastAsia="Times New Roman" w:cs="Calibri"/>
                                  <w:sz w:val="14"/>
                                  <w:szCs w:val="14"/>
                                  <w:lang w:eastAsia="es-ES_tradnl"/>
                                </w:rPr>
                                <w:t xml:space="preserve"> </w:t>
                              </w:r>
                              <w:proofErr w:type="spellStart"/>
                              <w:r w:rsidR="0000309D" w:rsidRPr="0000309D">
                                <w:rPr>
                                  <w:rFonts w:eastAsia="Times New Roman" w:cs="Calibri"/>
                                  <w:sz w:val="14"/>
                                  <w:szCs w:val="14"/>
                                  <w:lang w:eastAsia="es-ES_tradnl"/>
                                </w:rPr>
                                <w:t>Equity</w:t>
                              </w:r>
                              <w:proofErr w:type="spellEnd"/>
                              <w:r w:rsidR="0000309D" w:rsidRPr="0000309D">
                                <w:rPr>
                                  <w:rFonts w:eastAsia="Times New Roman" w:cs="Calibri"/>
                                  <w:sz w:val="14"/>
                                  <w:szCs w:val="14"/>
                                  <w:lang w:eastAsia="es-ES_tradnl"/>
                                </w:rPr>
                                <w:t xml:space="preserve"> Fondo de Inversión serie B</w:t>
                              </w:r>
                            </w:p>
                            <w:p w14:paraId="59CE6B86" w14:textId="70D04E61" w:rsidR="00E01DB3" w:rsidRPr="0000309D" w:rsidRDefault="0000309D" w:rsidP="0000309D">
                              <w:pPr>
                                <w:pStyle w:val="Prrafodelista"/>
                                <w:numPr>
                                  <w:ilvl w:val="0"/>
                                  <w:numId w:val="2"/>
                                </w:numPr>
                                <w:spacing w:line="276" w:lineRule="auto"/>
                                <w:ind w:left="142" w:right="-518" w:hanging="142"/>
                                <w:rPr>
                                  <w:rFonts w:eastAsia="Times New Roman" w:cs="Calibri"/>
                                  <w:sz w:val="14"/>
                                  <w:szCs w:val="14"/>
                                  <w:lang w:val="en-US" w:eastAsia="es-ES_tradnl"/>
                                </w:rPr>
                              </w:pPr>
                              <w:r w:rsidRPr="0000309D">
                                <w:rPr>
                                  <w:rFonts w:eastAsia="Times New Roman" w:cs="Calibri"/>
                                  <w:sz w:val="14"/>
                                  <w:szCs w:val="14"/>
                                  <w:lang w:val="en-US" w:eastAsia="es-ES_tradnl"/>
                                </w:rPr>
                                <w:t xml:space="preserve">Fondo </w:t>
                              </w:r>
                              <w:proofErr w:type="spellStart"/>
                              <w:r w:rsidRPr="0000309D">
                                <w:rPr>
                                  <w:rFonts w:eastAsia="Times New Roman" w:cs="Calibri"/>
                                  <w:sz w:val="14"/>
                                  <w:szCs w:val="14"/>
                                  <w:lang w:val="en-US" w:eastAsia="es-ES_tradnl"/>
                                </w:rPr>
                                <w:t>subyacente</w:t>
                              </w:r>
                              <w:proofErr w:type="spellEnd"/>
                              <w:r w:rsidRPr="0000309D">
                                <w:rPr>
                                  <w:rFonts w:eastAsia="Times New Roman" w:cs="Calibri"/>
                                  <w:sz w:val="14"/>
                                  <w:szCs w:val="14"/>
                                  <w:lang w:val="en-US" w:eastAsia="es-ES_tradnl"/>
                                </w:rPr>
                                <w:t xml:space="preserve"> “</w:t>
                              </w:r>
                              <w:proofErr w:type="gramStart"/>
                              <w:r w:rsidRPr="0000309D">
                                <w:rPr>
                                  <w:rFonts w:eastAsia="Times New Roman" w:cs="Calibri"/>
                                  <w:sz w:val="14"/>
                                  <w:szCs w:val="14"/>
                                  <w:lang w:val="en-US" w:eastAsia="es-ES_tradnl"/>
                                </w:rPr>
                                <w:t>Ninety One</w:t>
                              </w:r>
                              <w:proofErr w:type="gramEnd"/>
                              <w:r w:rsidRPr="0000309D">
                                <w:rPr>
                                  <w:rFonts w:eastAsia="Times New Roman" w:cs="Calibri"/>
                                  <w:sz w:val="14"/>
                                  <w:szCs w:val="14"/>
                                  <w:lang w:val="en-US" w:eastAsia="es-ES_tradnl"/>
                                </w:rPr>
                                <w:t xml:space="preserve"> GSF Latin America Equity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5184142" name="Conector recto 15"/>
                        <wps:cNvCnPr/>
                        <wps:spPr>
                          <a:xfrm>
                            <a:off x="102476" y="0"/>
                            <a:ext cx="1806278" cy="0"/>
                          </a:xfrm>
                          <a:prstGeom prst="line">
                            <a:avLst/>
                          </a:prstGeom>
                          <a:ln w="6350">
                            <a:solidFill>
                              <a:schemeClr val="bg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1974A1" id="Grupo 4" o:spid="_x0000_s1026" style="position:absolute;margin-left:-6.3pt;margin-top:52.85pt;width:7in;height:40.75pt;z-index:251661323" coordsize="64008,51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">
                <v:shapetype id="_x0000_t202" coordsize="21600,21600" o:spt="202" path="m,l,21600r21600,l21600,xe">
                  <v:stroke joinstyle="miter"/>
                  <v:path gradientshapeok="t" o:connecttype="rect"/>
                </v:shapetype>
                <v:shape id="Cuadro de texto 1125152785" o:spid="_x0000_s1027" type="#_x0000_t202" style="position:absolute;top:472;width:64008;height:4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" filled="f" stroked="f" strokeweight=".5pt">
                  <v:textbox>
                    <w:txbxContent>
                      <w:p w14:paraId="47566E33" w14:textId="11BC9ABB" w:rsidR="00E01DB3" w:rsidRPr="0000309D" w:rsidRDefault="00E01DB3" w:rsidP="0000309D">
                        <w:pPr>
                          <w:pStyle w:val="Prrafodelista"/>
                          <w:numPr>
                            <w:ilvl w:val="0"/>
                            <w:numId w:val="2"/>
                          </w:numPr>
                          <w:ind w:left="142" w:right="-518" w:hanging="142"/>
                          <w:rPr>
                            <w:rFonts w:eastAsia="Times New Roman" w:cs="Calibri"/>
                            <w:sz w:val="14"/>
                            <w:szCs w:val="14"/>
                            <w:lang w:val="es-ES" w:eastAsia="es-ES_tradnl"/>
                          </w:rPr>
                        </w:pPr>
                        <w:r w:rsidRPr="007E774E">
                          <w:rPr>
                            <w:rFonts w:ascii="Aptos" w:eastAsia="Times New Roman" w:hAnsi="Aptos" w:cs="Calibri"/>
                            <w:b/>
                            <w:bCs/>
                            <w:sz w:val="14"/>
                            <w:szCs w:val="14"/>
                            <w:lang w:val="es-ES" w:eastAsia="es-ES_tradnl"/>
                          </w:rPr>
                          <w:t>Fuente:</w:t>
                        </w:r>
                        <w:r w:rsidRPr="00B304ED">
                          <w:rPr>
                            <w:rFonts w:eastAsia="Times New Roman" w:cs="Calibri"/>
                            <w:sz w:val="14"/>
                            <w:szCs w:val="14"/>
                            <w:lang w:val="es-ES" w:eastAsia="es-ES_tradnl"/>
                          </w:rPr>
                          <w:t xml:space="preserve"> </w:t>
                        </w:r>
                        <w:proofErr w:type="spellStart"/>
                        <w:r w:rsidR="0000309D" w:rsidRPr="0000309D">
                          <w:rPr>
                            <w:rFonts w:eastAsia="Times New Roman" w:cs="Calibri"/>
                            <w:sz w:val="14"/>
                            <w:szCs w:val="14"/>
                            <w:lang w:eastAsia="es-ES_tradnl"/>
                          </w:rPr>
                          <w:t>Compass</w:t>
                        </w:r>
                        <w:proofErr w:type="spellEnd"/>
                        <w:r w:rsidR="0000309D" w:rsidRPr="0000309D">
                          <w:rPr>
                            <w:rFonts w:eastAsia="Times New Roman" w:cs="Calibri"/>
                            <w:sz w:val="14"/>
                            <w:szCs w:val="14"/>
                            <w:lang w:eastAsia="es-ES_tradnl"/>
                          </w:rPr>
                          <w:t xml:space="preserve">, datos al 30 de junio de 2025 </w:t>
                        </w:r>
                        <w:proofErr w:type="spellStart"/>
                        <w:r w:rsidR="0000309D" w:rsidRPr="0000309D">
                          <w:rPr>
                            <w:rFonts w:eastAsia="Times New Roman" w:cs="Calibri"/>
                            <w:sz w:val="14"/>
                            <w:szCs w:val="14"/>
                            <w:lang w:eastAsia="es-ES_tradnl"/>
                          </w:rPr>
                          <w:t>Compass</w:t>
                        </w:r>
                        <w:proofErr w:type="spellEnd"/>
                        <w:r w:rsidR="0000309D" w:rsidRPr="0000309D">
                          <w:rPr>
                            <w:rFonts w:eastAsia="Times New Roman" w:cs="Calibri"/>
                            <w:sz w:val="14"/>
                            <w:szCs w:val="14"/>
                            <w:lang w:eastAsia="es-ES_tradnl"/>
                          </w:rPr>
                          <w:t xml:space="preserve"> </w:t>
                        </w:r>
                        <w:proofErr w:type="spellStart"/>
                        <w:r w:rsidR="0000309D" w:rsidRPr="0000309D">
                          <w:rPr>
                            <w:rFonts w:eastAsia="Times New Roman" w:cs="Calibri"/>
                            <w:sz w:val="14"/>
                            <w:szCs w:val="14"/>
                            <w:lang w:eastAsia="es-ES_tradnl"/>
                          </w:rPr>
                          <w:t>Latam</w:t>
                        </w:r>
                        <w:proofErr w:type="spellEnd"/>
                        <w:r w:rsidR="0000309D" w:rsidRPr="0000309D">
                          <w:rPr>
                            <w:rFonts w:eastAsia="Times New Roman" w:cs="Calibri"/>
                            <w:sz w:val="14"/>
                            <w:szCs w:val="14"/>
                            <w:lang w:eastAsia="es-ES_tradnl"/>
                          </w:rPr>
                          <w:t xml:space="preserve"> </w:t>
                        </w:r>
                        <w:proofErr w:type="spellStart"/>
                        <w:r w:rsidR="0000309D" w:rsidRPr="0000309D">
                          <w:rPr>
                            <w:rFonts w:eastAsia="Times New Roman" w:cs="Calibri"/>
                            <w:sz w:val="14"/>
                            <w:szCs w:val="14"/>
                            <w:lang w:eastAsia="es-ES_tradnl"/>
                          </w:rPr>
                          <w:t>Equity</w:t>
                        </w:r>
                        <w:proofErr w:type="spellEnd"/>
                        <w:r w:rsidR="0000309D" w:rsidRPr="0000309D">
                          <w:rPr>
                            <w:rFonts w:eastAsia="Times New Roman" w:cs="Calibri"/>
                            <w:sz w:val="14"/>
                            <w:szCs w:val="14"/>
                            <w:lang w:eastAsia="es-ES_tradnl"/>
                          </w:rPr>
                          <w:t xml:space="preserve"> Fondo de Inversión serie B</w:t>
                        </w:r>
                      </w:p>
                      <w:p w14:paraId="59CE6B86" w14:textId="70D04E61" w:rsidR="00E01DB3" w:rsidRPr="0000309D" w:rsidRDefault="0000309D" w:rsidP="0000309D">
                        <w:pPr>
                          <w:pStyle w:val="Prrafodelista"/>
                          <w:numPr>
                            <w:ilvl w:val="0"/>
                            <w:numId w:val="2"/>
                          </w:numPr>
                          <w:spacing w:line="276" w:lineRule="auto"/>
                          <w:ind w:left="142" w:right="-518" w:hanging="142"/>
                          <w:rPr>
                            <w:rFonts w:eastAsia="Times New Roman" w:cs="Calibri"/>
                            <w:sz w:val="14"/>
                            <w:szCs w:val="14"/>
                            <w:lang w:val="en-US" w:eastAsia="es-ES_tradnl"/>
                          </w:rPr>
                        </w:pPr>
                        <w:r w:rsidRPr="0000309D">
                          <w:rPr>
                            <w:rFonts w:eastAsia="Times New Roman" w:cs="Calibri"/>
                            <w:sz w:val="14"/>
                            <w:szCs w:val="14"/>
                            <w:lang w:val="en-US" w:eastAsia="es-ES_tradnl"/>
                          </w:rPr>
                          <w:t xml:space="preserve">Fondo </w:t>
                        </w:r>
                        <w:proofErr w:type="spellStart"/>
                        <w:r w:rsidRPr="0000309D">
                          <w:rPr>
                            <w:rFonts w:eastAsia="Times New Roman" w:cs="Calibri"/>
                            <w:sz w:val="14"/>
                            <w:szCs w:val="14"/>
                            <w:lang w:val="en-US" w:eastAsia="es-ES_tradnl"/>
                          </w:rPr>
                          <w:t>subyacente</w:t>
                        </w:r>
                        <w:proofErr w:type="spellEnd"/>
                        <w:r w:rsidRPr="0000309D">
                          <w:rPr>
                            <w:rFonts w:eastAsia="Times New Roman" w:cs="Calibri"/>
                            <w:sz w:val="14"/>
                            <w:szCs w:val="14"/>
                            <w:lang w:val="en-US" w:eastAsia="es-ES_tradnl"/>
                          </w:rPr>
                          <w:t xml:space="preserve"> “</w:t>
                        </w:r>
                        <w:proofErr w:type="gramStart"/>
                        <w:r w:rsidRPr="0000309D">
                          <w:rPr>
                            <w:rFonts w:eastAsia="Times New Roman" w:cs="Calibri"/>
                            <w:sz w:val="14"/>
                            <w:szCs w:val="14"/>
                            <w:lang w:val="en-US" w:eastAsia="es-ES_tradnl"/>
                          </w:rPr>
                          <w:t>Ninety One</w:t>
                        </w:r>
                        <w:proofErr w:type="gramEnd"/>
                        <w:r w:rsidRPr="0000309D">
                          <w:rPr>
                            <w:rFonts w:eastAsia="Times New Roman" w:cs="Calibri"/>
                            <w:sz w:val="14"/>
                            <w:szCs w:val="14"/>
                            <w:lang w:val="en-US" w:eastAsia="es-ES_tradnl"/>
                          </w:rPr>
                          <w:t xml:space="preserve"> GSF Latin America Equity Fund”</w:t>
                        </w:r>
                      </w:p>
                    </w:txbxContent>
                  </v:textbox>
                </v:shape>
                <v:line id="Conector recto 15" o:spid="_x0000_s1028" style="position:absolute;visibility:visible;mso-wrap-style:square" from="1024,0" to="1908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" strokecolor="#002fa7 [3214]" strokeweight=".5pt">
                  <v:stroke joinstyle="miter"/>
                </v:line>
              </v:group>
            </w:pict>
          </mc:Fallback>
        </mc:AlternateContent>
      </w:r>
      <w:r w:rsidR="00E01DB3">
        <w:rPr>
          <w:rFonts w:cs="Calibri"/>
          <w:szCs w:val="22"/>
        </w:rPr>
        <w:br w:type="page"/>
      </w:r>
    </w:p>
    <w:p w14:paraId="04F01DCC" w14:textId="7EF7109C" w:rsidR="00C75C94" w:rsidRPr="00740D11" w:rsidRDefault="00740D11" w:rsidP="00740D11">
      <w:pPr>
        <w:jc w:val="left"/>
        <w:rPr>
          <w:rFonts w:cs="Calibri"/>
          <w:sz w:val="2"/>
          <w:szCs w:val="2"/>
        </w:rPr>
      </w:pPr>
      <w:r w:rsidRPr="00A159A8">
        <w:rPr>
          <w:rFonts w:ascii="Calibri" w:eastAsia="Times New Roman" w:hAnsi="Calibri" w:cs="Calibri"/>
          <w:noProof/>
          <w:sz w:val="18"/>
          <w:szCs w:val="18"/>
          <w:lang w:eastAsia="es-ES_tradnl"/>
        </w:rPr>
        <w:drawing>
          <wp:anchor distT="0" distB="0" distL="114300" distR="114300" simplePos="0" relativeHeight="251665419" behindDoc="0" locked="0" layoutInCell="1" allowOverlap="1" wp14:anchorId="6EFF1D17" wp14:editId="0094471A">
            <wp:simplePos x="0" y="0"/>
            <wp:positionH relativeFrom="column">
              <wp:posOffset>-23495</wp:posOffset>
            </wp:positionH>
            <wp:positionV relativeFrom="paragraph">
              <wp:posOffset>0</wp:posOffset>
            </wp:positionV>
            <wp:extent cx="919480" cy="913130"/>
            <wp:effectExtent l="0" t="0" r="0" b="1270"/>
            <wp:wrapSquare wrapText="bothSides"/>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rotWithShape="1">
                    <a:blip r:embed="rId12">
                      <a:extLst>
                        <a:ext uri="{28A0092B-C50C-407E-A947-70E740481C1C}">
                          <a14:useLocalDpi xmlns:a14="http://schemas.microsoft.com/office/drawing/2010/main" val="0"/>
                        </a:ext>
                      </a:extLst>
                    </a:blip>
                    <a:srcRect l="6965" t="5126" r="4325" b="19089"/>
                    <a:stretch>
                      <a:fillRect/>
                    </a:stretch>
                  </pic:blipFill>
                  <pic:spPr bwMode="auto">
                    <a:xfrm>
                      <a:off x="0" y="0"/>
                      <a:ext cx="919480" cy="91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33F3D6" w14:textId="42638521" w:rsidR="00740D11" w:rsidRPr="00740D11" w:rsidRDefault="00740D11" w:rsidP="0097063D">
      <w:pPr>
        <w:ind w:left="1701"/>
        <w:rPr>
          <w:rFonts w:ascii="Aptos" w:hAnsi="Aptos" w:cs="Calibri"/>
          <w:b/>
          <w:bCs/>
          <w:color w:val="002FA7" w:themeColor="background2"/>
          <w:sz w:val="24"/>
        </w:rPr>
      </w:pPr>
      <w:r w:rsidRPr="00740D11">
        <w:rPr>
          <w:rFonts w:ascii="Aptos" w:hAnsi="Aptos" w:cs="Calibri"/>
          <w:b/>
          <w:bCs/>
          <w:color w:val="002FA7" w:themeColor="background2"/>
          <w:sz w:val="24"/>
        </w:rPr>
        <w:t xml:space="preserve">Roberto </w:t>
      </w:r>
      <w:proofErr w:type="spellStart"/>
      <w:r w:rsidRPr="00740D11">
        <w:rPr>
          <w:rFonts w:ascii="Aptos" w:hAnsi="Aptos" w:cs="Calibri"/>
          <w:b/>
          <w:bCs/>
          <w:color w:val="002FA7" w:themeColor="background2"/>
          <w:sz w:val="24"/>
        </w:rPr>
        <w:t>Knoepfelmacher</w:t>
      </w:r>
      <w:proofErr w:type="spellEnd"/>
      <w:r w:rsidRPr="00740D11">
        <w:rPr>
          <w:rFonts w:ascii="Aptos" w:hAnsi="Aptos" w:cs="Calibri"/>
          <w:b/>
          <w:bCs/>
          <w:color w:val="002FA7" w:themeColor="background2"/>
          <w:sz w:val="24"/>
        </w:rPr>
        <w:t xml:space="preserve"> </w:t>
      </w:r>
    </w:p>
    <w:p w14:paraId="5D63E92E" w14:textId="1803A7D4" w:rsidR="00740D11" w:rsidRPr="00740D11" w:rsidRDefault="00740D11" w:rsidP="00740D11">
      <w:pPr>
        <w:ind w:left="1701"/>
        <w:rPr>
          <w:color w:val="404040"/>
        </w:rPr>
      </w:pPr>
      <w:r w:rsidRPr="00740D11">
        <w:rPr>
          <w:color w:val="404040"/>
        </w:rPr>
        <w:t xml:space="preserve">Socio, Head de Renta Variable y Co PM Portfolios Latinoamericanos </w:t>
      </w:r>
    </w:p>
    <w:p w14:paraId="67D266DD" w14:textId="5DC3C50D"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firma 20</w:t>
      </w:r>
      <w:r w:rsidR="00740D11">
        <w:rPr>
          <w:rFonts w:eastAsia="Times New Roman" w:cs="Calibri"/>
          <w:color w:val="404040"/>
          <w:szCs w:val="22"/>
          <w:shd w:val="clear" w:color="auto" w:fill="FFFFFF"/>
          <w:lang w:eastAsia="es-ES_tradnl"/>
        </w:rPr>
        <w:t>17</w:t>
      </w:r>
    </w:p>
    <w:p w14:paraId="0DC112CA" w14:textId="3C01134D"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 xml:space="preserve">Incorporación a la industria </w:t>
      </w:r>
      <w:r w:rsidR="00740D11">
        <w:rPr>
          <w:rFonts w:eastAsia="Times New Roman" w:cs="Calibri"/>
          <w:color w:val="404040"/>
          <w:szCs w:val="22"/>
          <w:shd w:val="clear" w:color="auto" w:fill="FFFFFF"/>
          <w:lang w:eastAsia="es-ES_tradnl"/>
        </w:rPr>
        <w:t>1998</w:t>
      </w:r>
    </w:p>
    <w:p w14:paraId="00D1FA2F" w14:textId="295FB3C6" w:rsidR="00740D11" w:rsidRPr="00740D11" w:rsidRDefault="00740D11" w:rsidP="00740D11">
      <w:pPr>
        <w:spacing w:before="240" w:after="240"/>
        <w:rPr>
          <w:rFonts w:eastAsia="Times New Roman" w:cs="Calibri"/>
          <w:szCs w:val="22"/>
          <w:shd w:val="clear" w:color="auto" w:fill="FFFFFF"/>
          <w:lang w:eastAsia="es-ES_tradnl"/>
        </w:rPr>
      </w:pPr>
      <w:r w:rsidRPr="00740D11">
        <w:rPr>
          <w:rFonts w:eastAsia="Times New Roman" w:cs="Calibri"/>
          <w:szCs w:val="22"/>
          <w:shd w:val="clear" w:color="auto" w:fill="FFFFFF"/>
          <w:lang w:eastAsia="es-ES_tradnl"/>
        </w:rPr>
        <w:t xml:space="preserve">Roberto es Socio y responsable del área de Renta Variable en Vinci </w:t>
      </w:r>
      <w:proofErr w:type="spellStart"/>
      <w:r w:rsidRPr="00740D11">
        <w:rPr>
          <w:rFonts w:eastAsia="Times New Roman" w:cs="Calibri"/>
          <w:szCs w:val="22"/>
          <w:shd w:val="clear" w:color="auto" w:fill="FFFFFF"/>
          <w:lang w:eastAsia="es-ES_tradnl"/>
        </w:rPr>
        <w:t>Compass</w:t>
      </w:r>
      <w:proofErr w:type="spellEnd"/>
      <w:r w:rsidRPr="00740D11">
        <w:rPr>
          <w:rFonts w:eastAsia="Times New Roman" w:cs="Calibri"/>
          <w:szCs w:val="22"/>
          <w:shd w:val="clear" w:color="auto" w:fill="FFFFFF"/>
          <w:lang w:eastAsia="es-ES_tradnl"/>
        </w:rPr>
        <w:t xml:space="preserve">. En 2024, se convirtió en Co-PM de los fondos de renta variable LATAM de Vinci </w:t>
      </w:r>
      <w:proofErr w:type="spellStart"/>
      <w:r w:rsidRPr="00740D11">
        <w:rPr>
          <w:rFonts w:eastAsia="Times New Roman" w:cs="Calibri"/>
          <w:szCs w:val="22"/>
          <w:shd w:val="clear" w:color="auto" w:fill="FFFFFF"/>
          <w:lang w:eastAsia="es-ES_tradnl"/>
        </w:rPr>
        <w:t>Compass</w:t>
      </w:r>
      <w:proofErr w:type="spellEnd"/>
      <w:r w:rsidRPr="00740D11">
        <w:rPr>
          <w:rFonts w:eastAsia="Times New Roman" w:cs="Calibri"/>
          <w:szCs w:val="22"/>
          <w:shd w:val="clear" w:color="auto" w:fill="FFFFFF"/>
          <w:lang w:eastAsia="es-ES_tradnl"/>
        </w:rPr>
        <w:t xml:space="preserve">. Desde 2010, gestiona el fondo Mosaico y, de 2012 a 2017, fue cofundador y director en Mosaico Capital. De 2003 a 2009, fue Co-PM y Head de Investigación en GAS Investimentos. Comenzó su carrera en el Banco BBA como analista de </w:t>
      </w:r>
      <w:proofErr w:type="spellStart"/>
      <w:r w:rsidRPr="00740D11">
        <w:rPr>
          <w:rFonts w:eastAsia="Times New Roman" w:cs="Calibri"/>
          <w:szCs w:val="22"/>
          <w:shd w:val="clear" w:color="auto" w:fill="FFFFFF"/>
          <w:lang w:eastAsia="es-ES_tradnl"/>
        </w:rPr>
        <w:t>sell-side</w:t>
      </w:r>
      <w:proofErr w:type="spellEnd"/>
      <w:r w:rsidRPr="00740D11">
        <w:rPr>
          <w:rFonts w:eastAsia="Times New Roman" w:cs="Calibri"/>
          <w:szCs w:val="22"/>
          <w:shd w:val="clear" w:color="auto" w:fill="FFFFFF"/>
          <w:lang w:eastAsia="es-ES_tradnl"/>
        </w:rPr>
        <w:t>.</w:t>
      </w:r>
      <w:r w:rsidRPr="00740D11">
        <w:rPr>
          <w:rFonts w:ascii="Calibri" w:eastAsia="Times New Roman" w:hAnsi="Calibri" w:cs="Calibri"/>
          <w:noProof/>
          <w:sz w:val="18"/>
          <w:szCs w:val="18"/>
          <w:lang w:eastAsia="es-ES_tradnl"/>
        </w:rPr>
        <w:t xml:space="preserve"> </w:t>
      </w:r>
    </w:p>
    <w:p w14:paraId="0000A854" w14:textId="4580BC6A" w:rsidR="009704FC" w:rsidRDefault="00740D11" w:rsidP="00740D11">
      <w:pPr>
        <w:spacing w:before="240" w:after="240"/>
        <w:rPr>
          <w:rFonts w:eastAsia="Times New Roman" w:cs="Calibri"/>
          <w:szCs w:val="22"/>
          <w:shd w:val="clear" w:color="auto" w:fill="FFFFFF"/>
          <w:lang w:eastAsia="es-ES_tradnl"/>
        </w:rPr>
      </w:pPr>
      <w:r w:rsidRPr="00740D11">
        <w:rPr>
          <w:rFonts w:eastAsia="Times New Roman" w:cs="Calibri"/>
          <w:szCs w:val="22"/>
          <w:shd w:val="clear" w:color="auto" w:fill="FFFFFF"/>
          <w:lang w:eastAsia="es-ES_tradnl"/>
        </w:rPr>
        <w:t>Roberto se graduó con honores en Administración de Empresas por la FGV-SP</w:t>
      </w:r>
      <w:r w:rsidR="009704FC" w:rsidRPr="009704FC">
        <w:rPr>
          <w:rFonts w:eastAsia="Times New Roman" w:cs="Calibri"/>
          <w:szCs w:val="22"/>
          <w:shd w:val="clear" w:color="auto" w:fill="FFFFFF"/>
          <w:lang w:eastAsia="es-ES_tradnl"/>
        </w:rPr>
        <w:t>.</w:t>
      </w:r>
    </w:p>
    <w:p w14:paraId="26FD4EEF" w14:textId="5E0DADE2" w:rsidR="00E01DB3" w:rsidRDefault="00E01DB3" w:rsidP="00E01DB3">
      <w:pPr>
        <w:tabs>
          <w:tab w:val="left" w:pos="1020"/>
        </w:tabs>
        <w:spacing w:before="240" w:after="240"/>
        <w:rPr>
          <w:rFonts w:eastAsia="Times New Roman" w:cs="Calibri"/>
          <w:szCs w:val="22"/>
          <w:shd w:val="clear" w:color="auto" w:fill="FFFFFF"/>
          <w:lang w:eastAsia="es-ES_tradnl"/>
        </w:rPr>
      </w:pPr>
      <w:r>
        <w:rPr>
          <w:rFonts w:eastAsia="Times New Roman" w:cs="Calibri"/>
          <w:szCs w:val="22"/>
          <w:shd w:val="clear" w:color="auto" w:fill="FFFFFF"/>
          <w:lang w:eastAsia="es-ES_tradnl"/>
        </w:rPr>
        <w:tab/>
      </w:r>
    </w:p>
    <w:p w14:paraId="69711573" w14:textId="68632B68" w:rsidR="00200302" w:rsidRPr="00200302" w:rsidRDefault="00AA49EC" w:rsidP="0097063D">
      <w:pPr>
        <w:tabs>
          <w:tab w:val="left" w:pos="1020"/>
        </w:tabs>
        <w:ind w:leftChars="773" w:left="1701"/>
        <w:rPr>
          <w:rFonts w:ascii="Aptos" w:hAnsi="Aptos" w:cs="Calibri"/>
          <w:b/>
          <w:bCs/>
          <w:color w:val="002FA7" w:themeColor="background2"/>
          <w:sz w:val="24"/>
          <w:lang w:val="es-ES"/>
        </w:rPr>
      </w:pPr>
      <w:r w:rsidRPr="00141256">
        <w:rPr>
          <w:rFonts w:ascii="Calibri" w:eastAsia="Times New Roman" w:hAnsi="Calibri" w:cs="Calibri"/>
          <w:noProof/>
          <w:sz w:val="18"/>
          <w:szCs w:val="18"/>
          <w:lang w:eastAsia="es-ES_tradnl"/>
        </w:rPr>
        <w:drawing>
          <wp:anchor distT="0" distB="0" distL="114300" distR="114300" simplePos="0" relativeHeight="251667467" behindDoc="1" locked="0" layoutInCell="1" allowOverlap="1" wp14:anchorId="56039462" wp14:editId="0E4782E4">
            <wp:simplePos x="0" y="0"/>
            <wp:positionH relativeFrom="column">
              <wp:posOffset>20320</wp:posOffset>
            </wp:positionH>
            <wp:positionV relativeFrom="paragraph">
              <wp:posOffset>62982</wp:posOffset>
            </wp:positionV>
            <wp:extent cx="889000" cy="93091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rotWithShape="1">
                    <a:blip r:embed="rId13" cstate="print">
                      <a:extLst>
                        <a:ext uri="{28A0092B-C50C-407E-A947-70E740481C1C}">
                          <a14:useLocalDpi xmlns:a14="http://schemas.microsoft.com/office/drawing/2010/main" val="0"/>
                        </a:ext>
                      </a:extLst>
                    </a:blip>
                    <a:srcRect l="9211" t="4577" r="10697" b="11556"/>
                    <a:stretch>
                      <a:fillRect/>
                    </a:stretch>
                  </pic:blipFill>
                  <pic:spPr bwMode="auto">
                    <a:xfrm>
                      <a:off x="0" y="0"/>
                      <a:ext cx="889000" cy="930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3570">
        <w:rPr>
          <w:rFonts w:ascii="Aptos" w:hAnsi="Aptos" w:cs="Calibri"/>
          <w:b/>
          <w:bCs/>
          <w:color w:val="002FA7" w:themeColor="background2"/>
          <w:sz w:val="24"/>
          <w:lang w:val="es-ES"/>
        </w:rPr>
        <w:t>Nicolás Donoso</w:t>
      </w:r>
    </w:p>
    <w:p w14:paraId="418C6F0E" w14:textId="1901834B" w:rsidR="00F33A85" w:rsidRPr="0097063D" w:rsidRDefault="00D43570" w:rsidP="0097063D">
      <w:pPr>
        <w:ind w:leftChars="773" w:left="1701"/>
        <w:rPr>
          <w:rFonts w:cs="Calibri"/>
          <w:szCs w:val="22"/>
          <w:lang w:val="en-US"/>
        </w:rPr>
      </w:pPr>
      <w:r w:rsidRPr="0097063D">
        <w:rPr>
          <w:rFonts w:cs="Calibri"/>
          <w:szCs w:val="22"/>
          <w:lang w:val="en-US"/>
        </w:rPr>
        <w:t xml:space="preserve">Head de Equities Chile, PM All Cap Chile, Co PM Small Cap Chile y Co PM Portfolios </w:t>
      </w:r>
      <w:proofErr w:type="spellStart"/>
      <w:r w:rsidRPr="0097063D">
        <w:rPr>
          <w:rFonts w:cs="Calibri"/>
          <w:szCs w:val="22"/>
          <w:lang w:val="en-US"/>
        </w:rPr>
        <w:t>Latinoamericanos</w:t>
      </w:r>
      <w:proofErr w:type="spellEnd"/>
    </w:p>
    <w:p w14:paraId="440AF08E" w14:textId="77777777" w:rsidR="00D43570" w:rsidRPr="00200302" w:rsidRDefault="00D43570" w:rsidP="00F33A85">
      <w:pPr>
        <w:ind w:left="1701"/>
        <w:rPr>
          <w:rFonts w:cs="Calibri"/>
          <w:szCs w:val="22"/>
          <w:lang w:val="pt-BR"/>
        </w:rPr>
      </w:pPr>
    </w:p>
    <w:p w14:paraId="10839990" w14:textId="760D2D6F" w:rsidR="00200302" w:rsidRPr="00200302" w:rsidRDefault="00200302" w:rsidP="0097063D">
      <w:pPr>
        <w:numPr>
          <w:ilvl w:val="0"/>
          <w:numId w:val="10"/>
        </w:numPr>
        <w:ind w:left="1701" w:firstLine="0"/>
        <w:rPr>
          <w:rFonts w:cs="Calibri"/>
          <w:szCs w:val="22"/>
        </w:rPr>
      </w:pPr>
      <w:r w:rsidRPr="00200302">
        <w:rPr>
          <w:rFonts w:cs="Calibri"/>
          <w:szCs w:val="22"/>
        </w:rPr>
        <w:t>Incorporación a la firma 2009</w:t>
      </w:r>
    </w:p>
    <w:p w14:paraId="23A6D1C7" w14:textId="00457F3F" w:rsidR="00200302" w:rsidRPr="00C75C94" w:rsidRDefault="00200302" w:rsidP="0097063D">
      <w:pPr>
        <w:numPr>
          <w:ilvl w:val="0"/>
          <w:numId w:val="10"/>
        </w:numPr>
        <w:ind w:left="1701" w:firstLine="0"/>
        <w:rPr>
          <w:rFonts w:cs="Calibri"/>
          <w:szCs w:val="22"/>
          <w:lang w:val="es-ES"/>
        </w:rPr>
      </w:pPr>
      <w:r w:rsidRPr="00200302">
        <w:rPr>
          <w:rFonts w:cs="Calibri"/>
          <w:szCs w:val="22"/>
        </w:rPr>
        <w:t>Incorporación a la industria 2009</w:t>
      </w:r>
    </w:p>
    <w:p w14:paraId="3062D132" w14:textId="5B538488" w:rsidR="00C75C94" w:rsidRDefault="00C75C94" w:rsidP="00C75C94">
      <w:pPr>
        <w:rPr>
          <w:rFonts w:cs="Calibri"/>
          <w:szCs w:val="22"/>
        </w:rPr>
      </w:pPr>
    </w:p>
    <w:p w14:paraId="3A47396F" w14:textId="7E137642" w:rsidR="00D43570" w:rsidRPr="00D43570" w:rsidRDefault="00D43570" w:rsidP="00D43570">
      <w:pPr>
        <w:tabs>
          <w:tab w:val="left" w:pos="476"/>
        </w:tabs>
        <w:spacing w:before="240" w:after="240"/>
        <w:rPr>
          <w:rFonts w:eastAsia="Times New Roman" w:cs="Calibri"/>
          <w:szCs w:val="22"/>
          <w:shd w:val="clear" w:color="auto" w:fill="FFFFFF"/>
          <w:lang w:eastAsia="es-ES_tradnl"/>
        </w:rPr>
      </w:pPr>
      <w:r w:rsidRPr="00D43570">
        <w:rPr>
          <w:rFonts w:eastAsia="Times New Roman" w:cs="Calibri"/>
          <w:szCs w:val="22"/>
          <w:shd w:val="clear" w:color="auto" w:fill="FFFFFF"/>
          <w:lang w:eastAsia="es-ES_tradnl"/>
        </w:rPr>
        <w:t xml:space="preserve">Nicolás es Head de Renta Variable en la oficina de Chile, Portfolio Manager del fondo mutuo </w:t>
      </w:r>
      <w:proofErr w:type="spellStart"/>
      <w:r w:rsidRPr="00D43570">
        <w:rPr>
          <w:rFonts w:eastAsia="Times New Roman" w:cs="Calibri"/>
          <w:szCs w:val="22"/>
          <w:shd w:val="clear" w:color="auto" w:fill="FFFFFF"/>
          <w:lang w:eastAsia="es-ES_tradnl"/>
        </w:rPr>
        <w:t>Compass</w:t>
      </w:r>
      <w:proofErr w:type="spellEnd"/>
      <w:r w:rsidRPr="00D43570">
        <w:rPr>
          <w:rFonts w:eastAsia="Times New Roman" w:cs="Calibri"/>
          <w:szCs w:val="22"/>
          <w:shd w:val="clear" w:color="auto" w:fill="FFFFFF"/>
          <w:lang w:eastAsia="es-ES_tradnl"/>
        </w:rPr>
        <w:t xml:space="preserve"> Acciones Chilenas como también del Fondo Small </w:t>
      </w:r>
      <w:proofErr w:type="spellStart"/>
      <w:r w:rsidRPr="00D43570">
        <w:rPr>
          <w:rFonts w:eastAsia="Times New Roman" w:cs="Calibri"/>
          <w:szCs w:val="22"/>
          <w:shd w:val="clear" w:color="auto" w:fill="FFFFFF"/>
          <w:lang w:eastAsia="es-ES_tradnl"/>
        </w:rPr>
        <w:t>Cap</w:t>
      </w:r>
      <w:proofErr w:type="spellEnd"/>
      <w:r w:rsidRPr="00D43570">
        <w:rPr>
          <w:rFonts w:eastAsia="Times New Roman" w:cs="Calibri"/>
          <w:szCs w:val="22"/>
          <w:shd w:val="clear" w:color="auto" w:fill="FFFFFF"/>
          <w:lang w:eastAsia="es-ES_tradnl"/>
        </w:rPr>
        <w:t xml:space="preserve"> Chile y desde agosto 2024 asumió el rol de Co PM de los Portfolios Latinoamericanos. Anteriormente fue Analista Senior y Co-Portfolio manager de las estrategias de Renta Variable mexicanas. Previamente, entre el 2016 y 2020 fue Co-Portfolio Manager del fondo de acciones chilenas. En sus inicios en la firma, fue analista de inversiones de acciones chilenas, cubriendo los sectores de </w:t>
      </w:r>
      <w:proofErr w:type="spellStart"/>
      <w:r w:rsidRPr="00D43570">
        <w:rPr>
          <w:rFonts w:eastAsia="Times New Roman" w:cs="Calibri"/>
          <w:szCs w:val="22"/>
          <w:shd w:val="clear" w:color="auto" w:fill="FFFFFF"/>
          <w:lang w:eastAsia="es-ES_tradnl"/>
        </w:rPr>
        <w:t>utilities</w:t>
      </w:r>
      <w:proofErr w:type="spellEnd"/>
      <w:r w:rsidRPr="00D43570">
        <w:rPr>
          <w:rFonts w:eastAsia="Times New Roman" w:cs="Calibri"/>
          <w:szCs w:val="22"/>
          <w:shd w:val="clear" w:color="auto" w:fill="FFFFFF"/>
          <w:lang w:eastAsia="es-ES_tradnl"/>
        </w:rPr>
        <w:t>, TI, consumo, bebidas, eléctrico, salmones y construcción.</w:t>
      </w:r>
    </w:p>
    <w:p w14:paraId="324BF447" w14:textId="0606EF04" w:rsidR="00D43570" w:rsidRPr="00D43570" w:rsidRDefault="00D43570" w:rsidP="00D43570">
      <w:pPr>
        <w:tabs>
          <w:tab w:val="left" w:pos="476"/>
        </w:tabs>
        <w:spacing w:before="240" w:after="240"/>
        <w:rPr>
          <w:rFonts w:eastAsia="Times New Roman" w:cs="Calibri"/>
          <w:szCs w:val="22"/>
          <w:shd w:val="clear" w:color="auto" w:fill="FFFFFF"/>
          <w:lang w:eastAsia="es-ES_tradnl"/>
        </w:rPr>
      </w:pPr>
      <w:r w:rsidRPr="00D43570">
        <w:rPr>
          <w:rFonts w:eastAsia="Times New Roman" w:cs="Calibri"/>
          <w:szCs w:val="22"/>
          <w:shd w:val="clear" w:color="auto" w:fill="FFFFFF"/>
          <w:lang w:eastAsia="es-ES_tradnl"/>
        </w:rPr>
        <w:t>Nicolás es Ingeniero Comercial de la Universidad de Los Andes.</w:t>
      </w:r>
    </w:p>
    <w:p w14:paraId="60F219C2" w14:textId="646E0C0B" w:rsidR="00740D11" w:rsidRDefault="00740D11" w:rsidP="00740D11">
      <w:pPr>
        <w:tabs>
          <w:tab w:val="left" w:pos="476"/>
        </w:tabs>
        <w:spacing w:before="240" w:after="240"/>
        <w:rPr>
          <w:rFonts w:cs="Calibri"/>
          <w:szCs w:val="22"/>
        </w:rPr>
      </w:pPr>
      <w:r>
        <w:rPr>
          <w:rFonts w:cs="Calibri"/>
          <w:szCs w:val="22"/>
        </w:rPr>
        <w:tab/>
      </w:r>
    </w:p>
    <w:p w14:paraId="568F853B" w14:textId="0C9DF32C" w:rsidR="00740D11" w:rsidRDefault="00740D11">
      <w:pPr>
        <w:jc w:val="left"/>
        <w:rPr>
          <w:rFonts w:cs="Calibri"/>
          <w:szCs w:val="22"/>
        </w:rPr>
      </w:pPr>
      <w:r>
        <w:rPr>
          <w:rFonts w:cs="Calibri"/>
          <w:szCs w:val="22"/>
        </w:rPr>
        <w:br w:type="page"/>
      </w:r>
    </w:p>
    <w:p w14:paraId="13EB3DBC"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5B5DF6AC"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5A3CBCB3"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54EAFCA8"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4DACD5CC"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6F00BE99"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41E53BE8"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49FC0E60" w14:textId="0F234BF7" w:rsidR="004F4524" w:rsidRPr="006E201B" w:rsidRDefault="004F4524" w:rsidP="004F4524">
      <w:pPr>
        <w:spacing w:before="240" w:after="240" w:line="276" w:lineRule="auto"/>
        <w:ind w:left="360" w:hanging="360"/>
        <w:rPr>
          <w:rFonts w:ascii="Aptos" w:hAnsi="Aptos"/>
          <w:b/>
          <w:bCs/>
          <w:color w:val="B5283D"/>
          <w:sz w:val="28"/>
          <w:szCs w:val="28"/>
        </w:rPr>
      </w:pPr>
      <w:r w:rsidRPr="006E201B">
        <w:rPr>
          <w:rFonts w:ascii="Aptos" w:hAnsi="Aptos"/>
          <w:b/>
          <w:bCs/>
          <w:color w:val="002FA7" w:themeColor="background2"/>
          <w:sz w:val="28"/>
          <w:szCs w:val="28"/>
        </w:rPr>
        <w:t>Importante</w:t>
      </w:r>
    </w:p>
    <w:p w14:paraId="1EADA298" w14:textId="142C09A6" w:rsidR="004F4524" w:rsidRPr="004F4524" w:rsidRDefault="004F4524" w:rsidP="004F4524">
      <w:pPr>
        <w:numPr>
          <w:ilvl w:val="0"/>
          <w:numId w:val="7"/>
        </w:numPr>
        <w:spacing w:line="276" w:lineRule="auto"/>
        <w:rPr>
          <w:szCs w:val="22"/>
        </w:rPr>
      </w:pPr>
      <w:r w:rsidRPr="004F4524">
        <w:rPr>
          <w:szCs w:val="22"/>
        </w:rPr>
        <w:t>La rentabilidad o ganancia obtenida en el pasado por los fondos, no garantiza que ellas se repitan en el futuro. L</w:t>
      </w:r>
      <w:r w:rsidRPr="004F4524">
        <w:rPr>
          <w:szCs w:val="22"/>
          <w:lang w:val="es-ES"/>
        </w:rPr>
        <w:t>os valores de las cuotas de los fondos son variables. Infórmese de las características esenciales de la inversión en fondos, las que se encuentran contenidas en su respectivo reglamento interno. El riesgo y retorno de los instrumentos componentes de la cartera de los fondos presentados, no necesariamente corresponde al riesgo y retorno de los instrumentos representados por los índices de referencia.</w:t>
      </w:r>
    </w:p>
    <w:p w14:paraId="064362DC" w14:textId="718ABCBD" w:rsidR="004F4524" w:rsidRPr="004F4524" w:rsidRDefault="004F4524" w:rsidP="004F4524">
      <w:pPr>
        <w:numPr>
          <w:ilvl w:val="0"/>
          <w:numId w:val="7"/>
        </w:numPr>
        <w:spacing w:line="276" w:lineRule="auto"/>
        <w:rPr>
          <w:szCs w:val="22"/>
        </w:rPr>
      </w:pPr>
      <w:r w:rsidRPr="004F4524">
        <w:rPr>
          <w:szCs w:val="22"/>
          <w:lang w:val="es-ES"/>
        </w:rPr>
        <w:t xml:space="preserve">La información contenida en este documento no corresponde a objetivos de inversión específicos, situación financiera o necesidades particulares de ningún receptor </w:t>
      </w:r>
      <w:proofErr w:type="gramStart"/>
      <w:r w:rsidRPr="004F4524">
        <w:rPr>
          <w:szCs w:val="22"/>
          <w:lang w:val="es-ES"/>
        </w:rPr>
        <w:t>del mismo</w:t>
      </w:r>
      <w:proofErr w:type="gramEnd"/>
      <w:r w:rsidRPr="004F4524">
        <w:rPr>
          <w:szCs w:val="22"/>
          <w:lang w:val="es-ES"/>
        </w:rPr>
        <w:t>.</w:t>
      </w:r>
    </w:p>
    <w:p w14:paraId="623449E4" w14:textId="22C115D0" w:rsidR="004F4524" w:rsidRPr="004F4524" w:rsidRDefault="004F4524" w:rsidP="004F4524">
      <w:pPr>
        <w:numPr>
          <w:ilvl w:val="0"/>
          <w:numId w:val="7"/>
        </w:numPr>
        <w:spacing w:line="276" w:lineRule="auto"/>
        <w:rPr>
          <w:szCs w:val="22"/>
        </w:rPr>
      </w:pPr>
      <w:r w:rsidRPr="004F4524">
        <w:rPr>
          <w:szCs w:val="22"/>
        </w:rPr>
        <w:t xml:space="preserve">Las opiniones contenidas en esta presentación no deben considerarse como una oferta o una solicitud de compra o de venta, de suscripción o rescate, de aporte o retiro de ningún tipo de valores, sino que se publican con un propósito meramente informativo para nuestros clientes. </w:t>
      </w:r>
    </w:p>
    <w:p w14:paraId="0B03A3F8" w14:textId="3A53DC9E" w:rsidR="004F4524" w:rsidRPr="004F4524" w:rsidRDefault="004F4524" w:rsidP="004F4524">
      <w:pPr>
        <w:numPr>
          <w:ilvl w:val="0"/>
          <w:numId w:val="7"/>
        </w:numPr>
        <w:spacing w:line="276" w:lineRule="auto"/>
        <w:rPr>
          <w:szCs w:val="22"/>
        </w:rPr>
      </w:pPr>
      <w:r w:rsidRPr="004F4524">
        <w:rPr>
          <w:szCs w:val="22"/>
        </w:rPr>
        <w:t xml:space="preserve">El contenido de este documento está destinado al uso exclusivo del emisor y/o persona o entidad a quien va dirigida. </w:t>
      </w:r>
    </w:p>
    <w:p w14:paraId="25B62967" w14:textId="5F408FB6" w:rsidR="004F4524" w:rsidRPr="004F4524" w:rsidRDefault="004F4524" w:rsidP="004F4524">
      <w:pPr>
        <w:numPr>
          <w:ilvl w:val="0"/>
          <w:numId w:val="7"/>
        </w:numPr>
        <w:spacing w:line="276" w:lineRule="auto"/>
        <w:rPr>
          <w:szCs w:val="22"/>
        </w:rPr>
      </w:pPr>
      <w:r w:rsidRPr="004F4524">
        <w:rPr>
          <w:szCs w:val="22"/>
        </w:rPr>
        <w:t xml:space="preserve">Antes de realizar cualquier transacción de valores, los inversionistas deberán informarse sobre las condiciones de la operación, así como de los derechos, riesgos y responsabilidades implícitos en ella, por lo cual Vinci </w:t>
      </w:r>
      <w:proofErr w:type="spellStart"/>
      <w:r w:rsidRPr="004F4524">
        <w:rPr>
          <w:szCs w:val="22"/>
        </w:rPr>
        <w:t>Compass</w:t>
      </w:r>
      <w:proofErr w:type="spellEnd"/>
      <w:r w:rsidRPr="004F4524">
        <w:rPr>
          <w:szCs w:val="22"/>
        </w:rPr>
        <w:t xml:space="preserve"> y/o personas relacionadas (</w:t>
      </w:r>
      <w:r w:rsidRPr="004F4524">
        <w:rPr>
          <w:i/>
          <w:iCs/>
          <w:szCs w:val="22"/>
          <w:u w:val="single"/>
        </w:rPr>
        <w:t>“Vinci</w:t>
      </w:r>
      <w:r w:rsidRPr="004F4524">
        <w:rPr>
          <w:szCs w:val="22"/>
        </w:rPr>
        <w:t xml:space="preserve"> </w:t>
      </w:r>
      <w:proofErr w:type="spellStart"/>
      <w:r w:rsidRPr="004F4524">
        <w:rPr>
          <w:i/>
          <w:iCs/>
          <w:szCs w:val="22"/>
          <w:u w:val="single"/>
        </w:rPr>
        <w:t>Compass</w:t>
      </w:r>
      <w:proofErr w:type="spellEnd"/>
      <w:r w:rsidRPr="004F4524">
        <w:rPr>
          <w:szCs w:val="22"/>
        </w:rPr>
        <w:t xml:space="preserve">”) no asume responsabilidad alguna, ya sea directa o indirecta, derivada del uso de la información y/u opiniones contenidas en esta presentación. </w:t>
      </w:r>
    </w:p>
    <w:p w14:paraId="585F12C2" w14:textId="77777777" w:rsidR="004F4524" w:rsidRPr="004F4524" w:rsidRDefault="004F4524" w:rsidP="004F4524">
      <w:pPr>
        <w:numPr>
          <w:ilvl w:val="0"/>
          <w:numId w:val="7"/>
        </w:numPr>
        <w:spacing w:line="276" w:lineRule="auto"/>
        <w:rPr>
          <w:szCs w:val="22"/>
        </w:rPr>
      </w:pPr>
      <w:r w:rsidRPr="004F4524">
        <w:rPr>
          <w:szCs w:val="22"/>
        </w:rPr>
        <w:t xml:space="preserve">Las sociedades de Vinci </w:t>
      </w:r>
      <w:proofErr w:type="spellStart"/>
      <w:r w:rsidRPr="004F4524">
        <w:rPr>
          <w:szCs w:val="22"/>
        </w:rPr>
        <w:t>Compass</w:t>
      </w:r>
      <w:proofErr w:type="spellEnd"/>
      <w:r w:rsidRPr="004F4524">
        <w:rPr>
          <w:szCs w:val="22"/>
        </w:rPr>
        <w:t xml:space="preserve"> no ofrecen garantías, ni asumen responsabilidades sobre la información o por las decisiones de inversión adoptadas por terceros.</w:t>
      </w:r>
    </w:p>
    <w:p w14:paraId="525F7B1C" w14:textId="77777777" w:rsidR="004F4524" w:rsidRPr="004F4524" w:rsidRDefault="004F4524" w:rsidP="004F4524">
      <w:pPr>
        <w:numPr>
          <w:ilvl w:val="0"/>
          <w:numId w:val="7"/>
        </w:numPr>
        <w:spacing w:line="276" w:lineRule="auto"/>
        <w:rPr>
          <w:szCs w:val="22"/>
        </w:rPr>
      </w:pPr>
      <w:r w:rsidRPr="004F4524">
        <w:rPr>
          <w:szCs w:val="22"/>
        </w:rPr>
        <w:t xml:space="preserve">Cualquier uso, almacenamiento, divulgación, distribución o copia de la información contenida en este documento, está estrictamente prohibido y sancionado por la ley. </w:t>
      </w:r>
    </w:p>
    <w:sectPr w:rsidR="004F4524" w:rsidRPr="004F4524" w:rsidSect="00ED5512">
      <w:headerReference w:type="default" r:id="rId14"/>
      <w:footerReference w:type="even" r:id="rId15"/>
      <w:footerReference w:type="default" r:id="rId16"/>
      <w:type w:val="continuous"/>
      <w:pgSz w:w="12240" w:h="15840"/>
      <w:pgMar w:top="1985" w:right="1418" w:bottom="1418" w:left="1418" w:header="709" w:footer="567" w:gutter="0"/>
      <w:cols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5B02" w14:textId="77777777" w:rsidR="00571CA8" w:rsidRDefault="00571CA8" w:rsidP="004F2CFA">
      <w:r>
        <w:separator/>
      </w:r>
    </w:p>
  </w:endnote>
  <w:endnote w:type="continuationSeparator" w:id="0">
    <w:p w14:paraId="3D560C92" w14:textId="77777777" w:rsidR="00571CA8" w:rsidRDefault="00571CA8" w:rsidP="004F2CFA">
      <w:r>
        <w:continuationSeparator/>
      </w:r>
    </w:p>
  </w:endnote>
  <w:endnote w:type="continuationNotice" w:id="1">
    <w:p w14:paraId="43CD70A6" w14:textId="77777777" w:rsidR="00571CA8" w:rsidRDefault="00571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Cuerpo)">
    <w:altName w:val="Calibri"/>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Cuerpo en alfabeto compl">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8843745"/>
      <w:docPartObj>
        <w:docPartGallery w:val="Page Numbers (Bottom of Page)"/>
        <w:docPartUnique/>
      </w:docPartObj>
    </w:sdtPr>
    <w:sdtContent>
      <w:p w14:paraId="01A3E72C" w14:textId="77777777" w:rsidR="00D336F2" w:rsidRDefault="00D336F2" w:rsidP="0043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E82A67" w14:textId="77777777" w:rsidR="00D336F2" w:rsidRDefault="00D336F2" w:rsidP="00D336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HAnsi"/>
        <w:sz w:val="16"/>
        <w:szCs w:val="16"/>
        <w:lang w:val="es-ES"/>
      </w:rPr>
      <w:id w:val="1950733772"/>
      <w:docPartObj>
        <w:docPartGallery w:val="Page Numbers (Bottom of Page)"/>
        <w:docPartUnique/>
      </w:docPartObj>
    </w:sdtPr>
    <w:sdtEndPr>
      <w:rPr>
        <w:rFonts w:cs="Arial (Cuerpo en alfabeto compl"/>
        <w:color w:val="002FA7" w:themeColor="background2"/>
      </w:rPr>
    </w:sdtEndPr>
    <w:sdtContent>
      <w:p w14:paraId="423F4772" w14:textId="0BEFCEC6" w:rsidR="00A41394" w:rsidRPr="009059D8" w:rsidRDefault="00740D11" w:rsidP="005A6B87">
        <w:pPr>
          <w:tabs>
            <w:tab w:val="right" w:pos="9404"/>
          </w:tabs>
          <w:rPr>
            <w:rFonts w:eastAsiaTheme="minorEastAsia"/>
            <w:color w:val="002FA7" w:themeColor="background2"/>
            <w:sz w:val="16"/>
            <w:szCs w:val="16"/>
            <w:lang w:val="es-ES"/>
          </w:rPr>
        </w:pPr>
        <w:proofErr w:type="spellStart"/>
        <w:r w:rsidRPr="00E04671">
          <w:rPr>
            <w:color w:val="7F7F7F" w:themeColor="text1" w:themeTint="80"/>
            <w:sz w:val="16"/>
            <w:szCs w:val="16"/>
          </w:rPr>
          <w:t>Compass</w:t>
        </w:r>
        <w:proofErr w:type="spellEnd"/>
        <w:r w:rsidRPr="00E04671">
          <w:rPr>
            <w:color w:val="7F7F7F" w:themeColor="text1" w:themeTint="80"/>
            <w:sz w:val="16"/>
            <w:szCs w:val="16"/>
          </w:rPr>
          <w:t xml:space="preserve"> </w:t>
        </w:r>
        <w:proofErr w:type="spellStart"/>
        <w:r w:rsidRPr="00E04671">
          <w:rPr>
            <w:color w:val="7F7F7F" w:themeColor="text1" w:themeTint="80"/>
            <w:sz w:val="16"/>
            <w:szCs w:val="16"/>
          </w:rPr>
          <w:t>Latam</w:t>
        </w:r>
        <w:proofErr w:type="spellEnd"/>
        <w:r w:rsidRPr="00E04671">
          <w:rPr>
            <w:color w:val="7F7F7F" w:themeColor="text1" w:themeTint="80"/>
            <w:sz w:val="16"/>
            <w:szCs w:val="16"/>
          </w:rPr>
          <w:t xml:space="preserve"> </w:t>
        </w:r>
        <w:proofErr w:type="spellStart"/>
        <w:r w:rsidRPr="00E04671">
          <w:rPr>
            <w:color w:val="7F7F7F" w:themeColor="text1" w:themeTint="80"/>
            <w:sz w:val="16"/>
            <w:szCs w:val="16"/>
          </w:rPr>
          <w:t>Equity</w:t>
        </w:r>
        <w:proofErr w:type="spellEnd"/>
        <w:r w:rsidRPr="00E04671">
          <w:rPr>
            <w:color w:val="7F7F7F" w:themeColor="text1" w:themeTint="80"/>
            <w:sz w:val="16"/>
            <w:szCs w:val="16"/>
          </w:rPr>
          <w:t xml:space="preserve"> Fondo de Inversión</w:t>
        </w:r>
        <w:r w:rsidRPr="00740D11">
          <w:rPr>
            <w:color w:val="7F7F7F" w:themeColor="text1" w:themeTint="80"/>
            <w:sz w:val="16"/>
            <w:szCs w:val="16"/>
            <w:lang w:val="es-ES"/>
          </w:rPr>
          <w:t xml:space="preserve"> </w:t>
        </w:r>
        <w:r>
          <w:rPr>
            <w:color w:val="7F7F7F" w:themeColor="text1" w:themeTint="80"/>
            <w:sz w:val="16"/>
            <w:szCs w:val="16"/>
            <w:lang w:val="es-ES"/>
          </w:rPr>
          <w:t xml:space="preserve">   </w:t>
        </w:r>
        <w:r w:rsidR="005A6B87" w:rsidRPr="009059D8">
          <w:rPr>
            <w:color w:val="002FA7" w:themeColor="background2"/>
            <w:sz w:val="16"/>
            <w:szCs w:val="16"/>
            <w:lang w:val="es-ES"/>
          </w:rPr>
          <w:t xml:space="preserve">I    </w:t>
        </w:r>
        <w:r w:rsidR="005A6B87" w:rsidRPr="009059D8">
          <w:rPr>
            <w:color w:val="7F7F7F" w:themeColor="text1" w:themeTint="80"/>
            <w:sz w:val="16"/>
            <w:szCs w:val="16"/>
            <w:lang w:val="es-ES"/>
          </w:rPr>
          <w:t xml:space="preserve">Vinci </w:t>
        </w:r>
        <w:proofErr w:type="spellStart"/>
        <w:r w:rsidR="005A6B87" w:rsidRPr="009059D8">
          <w:rPr>
            <w:color w:val="7F7F7F" w:themeColor="text1" w:themeTint="80"/>
            <w:sz w:val="16"/>
            <w:szCs w:val="16"/>
            <w:lang w:val="es-ES"/>
          </w:rPr>
          <w:t>Compass</w:t>
        </w:r>
        <w:proofErr w:type="spellEnd"/>
        <w:r w:rsidR="005A6B87" w:rsidRPr="009059D8">
          <w:rPr>
            <w:rFonts w:cstheme="minorHAnsi"/>
            <w:color w:val="7F7F7F" w:themeColor="text1" w:themeTint="80"/>
            <w:sz w:val="16"/>
            <w:szCs w:val="16"/>
          </w:rPr>
          <w:tab/>
        </w:r>
        <w:r w:rsidR="005A6B87" w:rsidRPr="009059D8">
          <w:rPr>
            <w:rFonts w:eastAsia="MS Mincho" w:cs="Calibri"/>
            <w:color w:val="002FA7"/>
            <w:sz w:val="16"/>
            <w:szCs w:val="16"/>
            <w:lang w:val="es-ES"/>
          </w:rPr>
          <w:fldChar w:fldCharType="begin"/>
        </w:r>
        <w:r w:rsidR="005A6B87" w:rsidRPr="009059D8">
          <w:rPr>
            <w:rFonts w:eastAsia="MS Mincho" w:cs="Calibri"/>
            <w:color w:val="002FA7"/>
            <w:sz w:val="16"/>
            <w:szCs w:val="16"/>
            <w:lang w:val="es-ES"/>
          </w:rPr>
          <w:instrText xml:space="preserve"> PAGE   \* MERGEFORMAT </w:instrText>
        </w:r>
        <w:r w:rsidR="005A6B87" w:rsidRPr="009059D8">
          <w:rPr>
            <w:rFonts w:eastAsia="MS Mincho" w:cs="Calibri"/>
            <w:color w:val="002FA7"/>
            <w:sz w:val="16"/>
            <w:szCs w:val="16"/>
            <w:lang w:val="es-ES"/>
          </w:rPr>
          <w:fldChar w:fldCharType="separate"/>
        </w:r>
        <w:r w:rsidR="005A6B87" w:rsidRPr="009059D8">
          <w:rPr>
            <w:rFonts w:eastAsia="MS Mincho" w:cs="Calibri"/>
            <w:color w:val="002FA7"/>
            <w:sz w:val="16"/>
            <w:szCs w:val="16"/>
            <w:lang w:val="es-ES"/>
          </w:rPr>
          <w:t>2</w:t>
        </w:r>
        <w:r w:rsidR="005A6B87" w:rsidRPr="009059D8">
          <w:rPr>
            <w:rFonts w:eastAsia="MS Mincho" w:cs="Calibri"/>
            <w:color w:val="002FA7"/>
            <w:sz w:val="16"/>
            <w:szCs w:val="16"/>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D209" w14:textId="77777777" w:rsidR="00571CA8" w:rsidRDefault="00571CA8" w:rsidP="004F2CFA">
      <w:r>
        <w:separator/>
      </w:r>
    </w:p>
  </w:footnote>
  <w:footnote w:type="continuationSeparator" w:id="0">
    <w:p w14:paraId="53899540" w14:textId="77777777" w:rsidR="00571CA8" w:rsidRDefault="00571CA8" w:rsidP="004F2CFA">
      <w:r>
        <w:continuationSeparator/>
      </w:r>
    </w:p>
  </w:footnote>
  <w:footnote w:type="continuationNotice" w:id="1">
    <w:p w14:paraId="1BD92FF8" w14:textId="77777777" w:rsidR="00571CA8" w:rsidRDefault="00571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DBE4" w14:textId="1BBCEF36" w:rsidR="004F2CFA" w:rsidRDefault="00FB4010">
    <w:pPr>
      <w:pStyle w:val="Encabezado"/>
    </w:pPr>
    <w:r>
      <w:rPr>
        <w:noProof/>
      </w:rPr>
      <mc:AlternateContent>
        <mc:Choice Requires="wps">
          <w:drawing>
            <wp:anchor distT="0" distB="0" distL="114300" distR="114300" simplePos="0" relativeHeight="251658241" behindDoc="0" locked="0" layoutInCell="1" allowOverlap="1" wp14:anchorId="59C20C6E" wp14:editId="556E05D6">
              <wp:simplePos x="0" y="0"/>
              <wp:positionH relativeFrom="column">
                <wp:posOffset>-98626</wp:posOffset>
              </wp:positionH>
              <wp:positionV relativeFrom="paragraph">
                <wp:posOffset>-247015</wp:posOffset>
              </wp:positionV>
              <wp:extent cx="4234180" cy="603738"/>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4180" cy="603738"/>
                      </a:xfrm>
                      <a:prstGeom prst="rect">
                        <a:avLst/>
                      </a:prstGeom>
                      <a:noFill/>
                      <a:ln w="6350">
                        <a:noFill/>
                      </a:ln>
                    </wps:spPr>
                    <wps:txbx>
                      <w:txbxContent>
                        <w:p w14:paraId="4B921C9B" w14:textId="332A81A5" w:rsidR="00E04671" w:rsidRPr="00E04671" w:rsidRDefault="00E04671" w:rsidP="00E04671">
                          <w:pPr>
                            <w:rPr>
                              <w:rFonts w:ascii="Aptos" w:hAnsi="Aptos"/>
                              <w:b/>
                              <w:bCs/>
                              <w:color w:val="FFFFFF" w:themeColor="background1"/>
                              <w:sz w:val="28"/>
                              <w:szCs w:val="28"/>
                            </w:rPr>
                          </w:pPr>
                          <w:proofErr w:type="spellStart"/>
                          <w:r w:rsidRPr="00E04671">
                            <w:rPr>
                              <w:rFonts w:ascii="Aptos" w:hAnsi="Aptos"/>
                              <w:b/>
                              <w:bCs/>
                              <w:color w:val="FFFFFF" w:themeColor="background1"/>
                              <w:sz w:val="28"/>
                              <w:szCs w:val="28"/>
                            </w:rPr>
                            <w:t>Compass</w:t>
                          </w:r>
                          <w:proofErr w:type="spellEnd"/>
                          <w:r w:rsidRPr="00E04671">
                            <w:rPr>
                              <w:rFonts w:ascii="Aptos" w:hAnsi="Aptos"/>
                              <w:b/>
                              <w:bCs/>
                              <w:color w:val="FFFFFF" w:themeColor="background1"/>
                              <w:sz w:val="28"/>
                              <w:szCs w:val="28"/>
                            </w:rPr>
                            <w:t xml:space="preserve"> </w:t>
                          </w:r>
                          <w:proofErr w:type="spellStart"/>
                          <w:r w:rsidRPr="00E04671">
                            <w:rPr>
                              <w:rFonts w:ascii="Aptos" w:hAnsi="Aptos"/>
                              <w:b/>
                              <w:bCs/>
                              <w:color w:val="FFFFFF" w:themeColor="background1"/>
                              <w:sz w:val="28"/>
                              <w:szCs w:val="28"/>
                            </w:rPr>
                            <w:t>Latam</w:t>
                          </w:r>
                          <w:proofErr w:type="spellEnd"/>
                          <w:r w:rsidRPr="00E04671">
                            <w:rPr>
                              <w:rFonts w:ascii="Aptos" w:hAnsi="Aptos"/>
                              <w:b/>
                              <w:bCs/>
                              <w:color w:val="FFFFFF" w:themeColor="background1"/>
                              <w:sz w:val="28"/>
                              <w:szCs w:val="28"/>
                            </w:rPr>
                            <w:t xml:space="preserve"> </w:t>
                          </w:r>
                          <w:proofErr w:type="spellStart"/>
                          <w:r w:rsidRPr="00E04671">
                            <w:rPr>
                              <w:rFonts w:ascii="Aptos" w:hAnsi="Aptos"/>
                              <w:b/>
                              <w:bCs/>
                              <w:color w:val="FFFFFF" w:themeColor="background1"/>
                              <w:sz w:val="28"/>
                              <w:szCs w:val="28"/>
                            </w:rPr>
                            <w:t>Equity</w:t>
                          </w:r>
                          <w:proofErr w:type="spellEnd"/>
                          <w:r w:rsidRPr="00E04671">
                            <w:rPr>
                              <w:rFonts w:ascii="Aptos" w:hAnsi="Aptos"/>
                              <w:b/>
                              <w:bCs/>
                              <w:color w:val="FFFFFF" w:themeColor="background1"/>
                              <w:sz w:val="28"/>
                              <w:szCs w:val="28"/>
                            </w:rPr>
                            <w:t xml:space="preserve"> Fondo de Inversión</w:t>
                          </w:r>
                          <w:r w:rsidRPr="00E04671">
                            <w:rPr>
                              <w:rFonts w:ascii="Aptos" w:hAnsi="Aptos"/>
                              <w:b/>
                              <w:bCs/>
                              <w:color w:val="FFFFFF" w:themeColor="background1"/>
                              <w:sz w:val="28"/>
                              <w:szCs w:val="28"/>
                              <w:vertAlign w:val="superscript"/>
                            </w:rPr>
                            <w:t>(1)</w:t>
                          </w:r>
                        </w:p>
                        <w:p w14:paraId="55C4B504" w14:textId="5DCA40F3"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20C6E" id="_x0000_t202" coordsize="21600,21600" o:spt="202" path="m,l,21600r21600,l21600,xe">
              <v:stroke joinstyle="miter"/>
              <v:path gradientshapeok="t" o:connecttype="rect"/>
            </v:shapetype>
            <v:shape id="Cuadro de texto 3" o:spid="_x0000_s1029" type="#_x0000_t202" style="position:absolute;left:0;text-align:left;margin-left:-7.75pt;margin-top:-19.45pt;width:333.4pt;height:47.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" filled="f" stroked="f" strokeweight=".5pt">
              <v:textbox>
                <w:txbxContent>
                  <w:p w14:paraId="4B921C9B" w14:textId="332A81A5" w:rsidR="00E04671" w:rsidRPr="00E04671" w:rsidRDefault="00E04671" w:rsidP="00E04671">
                    <w:pPr>
                      <w:rPr>
                        <w:rFonts w:ascii="Aptos" w:hAnsi="Aptos"/>
                        <w:b/>
                        <w:bCs/>
                        <w:color w:val="FFFFFF" w:themeColor="background1"/>
                        <w:sz w:val="28"/>
                        <w:szCs w:val="28"/>
                      </w:rPr>
                    </w:pPr>
                    <w:proofErr w:type="spellStart"/>
                    <w:r w:rsidRPr="00E04671">
                      <w:rPr>
                        <w:rFonts w:ascii="Aptos" w:hAnsi="Aptos"/>
                        <w:b/>
                        <w:bCs/>
                        <w:color w:val="FFFFFF" w:themeColor="background1"/>
                        <w:sz w:val="28"/>
                        <w:szCs w:val="28"/>
                      </w:rPr>
                      <w:t>Compass</w:t>
                    </w:r>
                    <w:proofErr w:type="spellEnd"/>
                    <w:r w:rsidRPr="00E04671">
                      <w:rPr>
                        <w:rFonts w:ascii="Aptos" w:hAnsi="Aptos"/>
                        <w:b/>
                        <w:bCs/>
                        <w:color w:val="FFFFFF" w:themeColor="background1"/>
                        <w:sz w:val="28"/>
                        <w:szCs w:val="28"/>
                      </w:rPr>
                      <w:t xml:space="preserve"> </w:t>
                    </w:r>
                    <w:proofErr w:type="spellStart"/>
                    <w:r w:rsidRPr="00E04671">
                      <w:rPr>
                        <w:rFonts w:ascii="Aptos" w:hAnsi="Aptos"/>
                        <w:b/>
                        <w:bCs/>
                        <w:color w:val="FFFFFF" w:themeColor="background1"/>
                        <w:sz w:val="28"/>
                        <w:szCs w:val="28"/>
                      </w:rPr>
                      <w:t>Latam</w:t>
                    </w:r>
                    <w:proofErr w:type="spellEnd"/>
                    <w:r w:rsidRPr="00E04671">
                      <w:rPr>
                        <w:rFonts w:ascii="Aptos" w:hAnsi="Aptos"/>
                        <w:b/>
                        <w:bCs/>
                        <w:color w:val="FFFFFF" w:themeColor="background1"/>
                        <w:sz w:val="28"/>
                        <w:szCs w:val="28"/>
                      </w:rPr>
                      <w:t xml:space="preserve"> </w:t>
                    </w:r>
                    <w:proofErr w:type="spellStart"/>
                    <w:r w:rsidRPr="00E04671">
                      <w:rPr>
                        <w:rFonts w:ascii="Aptos" w:hAnsi="Aptos"/>
                        <w:b/>
                        <w:bCs/>
                        <w:color w:val="FFFFFF" w:themeColor="background1"/>
                        <w:sz w:val="28"/>
                        <w:szCs w:val="28"/>
                      </w:rPr>
                      <w:t>Equity</w:t>
                    </w:r>
                    <w:proofErr w:type="spellEnd"/>
                    <w:r w:rsidRPr="00E04671">
                      <w:rPr>
                        <w:rFonts w:ascii="Aptos" w:hAnsi="Aptos"/>
                        <w:b/>
                        <w:bCs/>
                        <w:color w:val="FFFFFF" w:themeColor="background1"/>
                        <w:sz w:val="28"/>
                        <w:szCs w:val="28"/>
                      </w:rPr>
                      <w:t xml:space="preserve"> Fondo de Inversión</w:t>
                    </w:r>
                    <w:r w:rsidRPr="00E04671">
                      <w:rPr>
                        <w:rFonts w:ascii="Aptos" w:hAnsi="Aptos"/>
                        <w:b/>
                        <w:bCs/>
                        <w:color w:val="FFFFFF" w:themeColor="background1"/>
                        <w:sz w:val="28"/>
                        <w:szCs w:val="28"/>
                        <w:vertAlign w:val="superscript"/>
                      </w:rPr>
                      <w:t>(1)</w:t>
                    </w:r>
                  </w:p>
                  <w:p w14:paraId="55C4B504" w14:textId="5DCA40F3"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v:textbox>
            </v:shape>
          </w:pict>
        </mc:Fallback>
      </mc:AlternateContent>
    </w:r>
    <w:r w:rsidR="005E2D7D">
      <w:rPr>
        <w:noProof/>
      </w:rPr>
      <w:drawing>
        <wp:anchor distT="0" distB="0" distL="114300" distR="114300" simplePos="0" relativeHeight="251657216" behindDoc="0" locked="0" layoutInCell="1" allowOverlap="1" wp14:anchorId="0613BD34" wp14:editId="26543489">
          <wp:simplePos x="0" y="0"/>
          <wp:positionH relativeFrom="column">
            <wp:posOffset>-893445</wp:posOffset>
          </wp:positionH>
          <wp:positionV relativeFrom="margin">
            <wp:posOffset>-1256030</wp:posOffset>
          </wp:positionV>
          <wp:extent cx="7765603" cy="900000"/>
          <wp:effectExtent l="0" t="0" r="0" b="1905"/>
          <wp:wrapThrough wrapText="bothSides">
            <wp:wrapPolygon edited="0">
              <wp:start x="0" y="0"/>
              <wp:lineTo x="0" y="21341"/>
              <wp:lineTo x="21549" y="21341"/>
              <wp:lineTo x="21549" y="0"/>
              <wp:lineTo x="0" y="0"/>
            </wp:wrapPolygon>
          </wp:wrapThrough>
          <wp:docPr id="296116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183" name="Imagen 240950183"/>
                  <pic:cNvPicPr/>
                </pic:nvPicPr>
                <pic:blipFill>
                  <a:blip r:embed="rId1">
                    <a:extLst>
                      <a:ext uri="{28A0092B-C50C-407E-A947-70E740481C1C}">
                        <a14:useLocalDpi xmlns:a14="http://schemas.microsoft.com/office/drawing/2010/main" val="0"/>
                      </a:ext>
                    </a:extLst>
                  </a:blip>
                  <a:stretch>
                    <a:fillRect/>
                  </a:stretch>
                </pic:blipFill>
                <pic:spPr>
                  <a:xfrm>
                    <a:off x="0" y="0"/>
                    <a:ext cx="7765603"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1CE"/>
    <w:multiLevelType w:val="hybridMultilevel"/>
    <w:tmpl w:val="E864DEBE"/>
    <w:lvl w:ilvl="0" w:tplc="912CE944">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197F83"/>
    <w:multiLevelType w:val="hybridMultilevel"/>
    <w:tmpl w:val="E3887A5A"/>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2932FD"/>
    <w:multiLevelType w:val="hybridMultilevel"/>
    <w:tmpl w:val="939671FC"/>
    <w:lvl w:ilvl="0" w:tplc="2ABA6D90">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58264D"/>
    <w:multiLevelType w:val="hybridMultilevel"/>
    <w:tmpl w:val="FB72F2C0"/>
    <w:lvl w:ilvl="0" w:tplc="40DA3DE6">
      <w:numFmt w:val="bullet"/>
      <w:lvlText w:val=""/>
      <w:lvlJc w:val="left"/>
      <w:pPr>
        <w:ind w:left="720" w:hanging="360"/>
      </w:pPr>
      <w:rPr>
        <w:rFonts w:ascii="Symbol" w:hAnsi="Symbol" w:cs="Calibri (Cuerpo)"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BC0A1C"/>
    <w:multiLevelType w:val="hybridMultilevel"/>
    <w:tmpl w:val="FDA0AF9E"/>
    <w:lvl w:ilvl="0" w:tplc="6B0E4EA8">
      <w:numFmt w:val="bullet"/>
      <w:lvlText w:val=""/>
      <w:lvlJc w:val="left"/>
      <w:pPr>
        <w:ind w:left="720" w:hanging="360"/>
      </w:pPr>
      <w:rPr>
        <w:rFonts w:ascii="Wingdings" w:eastAsia="Times New Roman" w:hAnsi="Wingdings" w:cs="Calibri" w:hint="default"/>
        <w:color w:val="B5283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941D3D"/>
    <w:multiLevelType w:val="hybridMultilevel"/>
    <w:tmpl w:val="1B247514"/>
    <w:lvl w:ilvl="0" w:tplc="EB00F816">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8057EF"/>
    <w:multiLevelType w:val="hybridMultilevel"/>
    <w:tmpl w:val="E21CC666"/>
    <w:lvl w:ilvl="0" w:tplc="782E1E5A">
      <w:numFmt w:val="bullet"/>
      <w:lvlText w:val=""/>
      <w:lvlJc w:val="left"/>
      <w:pPr>
        <w:ind w:left="720" w:hanging="360"/>
      </w:pPr>
      <w:rPr>
        <w:rFonts w:ascii="Wingdings" w:eastAsia="Times New Roman"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462C12"/>
    <w:multiLevelType w:val="hybridMultilevel"/>
    <w:tmpl w:val="6ADAA9CC"/>
    <w:lvl w:ilvl="0" w:tplc="7054DA4C">
      <w:start w:val="1"/>
      <w:numFmt w:val="decimal"/>
      <w:lvlText w:val="(%1)"/>
      <w:lvlJc w:val="left"/>
      <w:pPr>
        <w:ind w:left="360" w:hanging="360"/>
      </w:pPr>
      <w:rPr>
        <w:rFonts w:eastAsia="Times New Roman" w:hint="default"/>
        <w:color w:val="000000"/>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51107A"/>
    <w:multiLevelType w:val="hybridMultilevel"/>
    <w:tmpl w:val="CA023C6E"/>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D1312B2"/>
    <w:multiLevelType w:val="hybridMultilevel"/>
    <w:tmpl w:val="96BE6E66"/>
    <w:lvl w:ilvl="0" w:tplc="CBCE1E90">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10" w15:restartNumberingAfterBreak="0">
    <w:nsid w:val="7D765A09"/>
    <w:multiLevelType w:val="hybridMultilevel"/>
    <w:tmpl w:val="BFC43DD4"/>
    <w:lvl w:ilvl="0" w:tplc="1CC65750">
      <w:start w:val="1"/>
      <w:numFmt w:val="bullet"/>
      <w:lvlText w:val="&gt;"/>
      <w:lvlJc w:val="left"/>
      <w:pPr>
        <w:tabs>
          <w:tab w:val="num" w:pos="360"/>
        </w:tabs>
        <w:ind w:left="360" w:hanging="360"/>
      </w:pPr>
      <w:rPr>
        <w:rFonts w:ascii="Century Gothic" w:hAnsi="Century Gothic" w:hint="default"/>
        <w:color w:val="B5283D"/>
      </w:rPr>
    </w:lvl>
    <w:lvl w:ilvl="1" w:tplc="C4AA517C" w:tentative="1">
      <w:start w:val="1"/>
      <w:numFmt w:val="bullet"/>
      <w:lvlText w:val="&gt;"/>
      <w:lvlJc w:val="left"/>
      <w:pPr>
        <w:tabs>
          <w:tab w:val="num" w:pos="1080"/>
        </w:tabs>
        <w:ind w:left="1080" w:hanging="360"/>
      </w:pPr>
      <w:rPr>
        <w:rFonts w:ascii="Century Gothic" w:hAnsi="Century Gothic" w:hint="default"/>
      </w:rPr>
    </w:lvl>
    <w:lvl w:ilvl="2" w:tplc="59022ADC" w:tentative="1">
      <w:start w:val="1"/>
      <w:numFmt w:val="bullet"/>
      <w:lvlText w:val="&gt;"/>
      <w:lvlJc w:val="left"/>
      <w:pPr>
        <w:tabs>
          <w:tab w:val="num" w:pos="1800"/>
        </w:tabs>
        <w:ind w:left="1800" w:hanging="360"/>
      </w:pPr>
      <w:rPr>
        <w:rFonts w:ascii="Century Gothic" w:hAnsi="Century Gothic" w:hint="default"/>
      </w:rPr>
    </w:lvl>
    <w:lvl w:ilvl="3" w:tplc="A662B142" w:tentative="1">
      <w:start w:val="1"/>
      <w:numFmt w:val="bullet"/>
      <w:lvlText w:val="&gt;"/>
      <w:lvlJc w:val="left"/>
      <w:pPr>
        <w:tabs>
          <w:tab w:val="num" w:pos="2520"/>
        </w:tabs>
        <w:ind w:left="2520" w:hanging="360"/>
      </w:pPr>
      <w:rPr>
        <w:rFonts w:ascii="Century Gothic" w:hAnsi="Century Gothic" w:hint="default"/>
      </w:rPr>
    </w:lvl>
    <w:lvl w:ilvl="4" w:tplc="DEFAB82C" w:tentative="1">
      <w:start w:val="1"/>
      <w:numFmt w:val="bullet"/>
      <w:lvlText w:val="&gt;"/>
      <w:lvlJc w:val="left"/>
      <w:pPr>
        <w:tabs>
          <w:tab w:val="num" w:pos="3240"/>
        </w:tabs>
        <w:ind w:left="3240" w:hanging="360"/>
      </w:pPr>
      <w:rPr>
        <w:rFonts w:ascii="Century Gothic" w:hAnsi="Century Gothic" w:hint="default"/>
      </w:rPr>
    </w:lvl>
    <w:lvl w:ilvl="5" w:tplc="18027662" w:tentative="1">
      <w:start w:val="1"/>
      <w:numFmt w:val="bullet"/>
      <w:lvlText w:val="&gt;"/>
      <w:lvlJc w:val="left"/>
      <w:pPr>
        <w:tabs>
          <w:tab w:val="num" w:pos="3960"/>
        </w:tabs>
        <w:ind w:left="3960" w:hanging="360"/>
      </w:pPr>
      <w:rPr>
        <w:rFonts w:ascii="Century Gothic" w:hAnsi="Century Gothic" w:hint="default"/>
      </w:rPr>
    </w:lvl>
    <w:lvl w:ilvl="6" w:tplc="2828CD2E" w:tentative="1">
      <w:start w:val="1"/>
      <w:numFmt w:val="bullet"/>
      <w:lvlText w:val="&gt;"/>
      <w:lvlJc w:val="left"/>
      <w:pPr>
        <w:tabs>
          <w:tab w:val="num" w:pos="4680"/>
        </w:tabs>
        <w:ind w:left="4680" w:hanging="360"/>
      </w:pPr>
      <w:rPr>
        <w:rFonts w:ascii="Century Gothic" w:hAnsi="Century Gothic" w:hint="default"/>
      </w:rPr>
    </w:lvl>
    <w:lvl w:ilvl="7" w:tplc="11D6C128" w:tentative="1">
      <w:start w:val="1"/>
      <w:numFmt w:val="bullet"/>
      <w:lvlText w:val="&gt;"/>
      <w:lvlJc w:val="left"/>
      <w:pPr>
        <w:tabs>
          <w:tab w:val="num" w:pos="5400"/>
        </w:tabs>
        <w:ind w:left="5400" w:hanging="360"/>
      </w:pPr>
      <w:rPr>
        <w:rFonts w:ascii="Century Gothic" w:hAnsi="Century Gothic" w:hint="default"/>
      </w:rPr>
    </w:lvl>
    <w:lvl w:ilvl="8" w:tplc="940AD774" w:tentative="1">
      <w:start w:val="1"/>
      <w:numFmt w:val="bullet"/>
      <w:lvlText w:val="&gt;"/>
      <w:lvlJc w:val="left"/>
      <w:pPr>
        <w:tabs>
          <w:tab w:val="num" w:pos="6120"/>
        </w:tabs>
        <w:ind w:left="6120" w:hanging="360"/>
      </w:pPr>
      <w:rPr>
        <w:rFonts w:ascii="Century Gothic" w:hAnsi="Century Gothic" w:hint="default"/>
      </w:rPr>
    </w:lvl>
  </w:abstractNum>
  <w:num w:numId="1" w16cid:durableId="1750343935">
    <w:abstractNumId w:val="10"/>
  </w:num>
  <w:num w:numId="2" w16cid:durableId="1223440373">
    <w:abstractNumId w:val="7"/>
  </w:num>
  <w:num w:numId="3" w16cid:durableId="2006088281">
    <w:abstractNumId w:val="0"/>
  </w:num>
  <w:num w:numId="4" w16cid:durableId="2042054444">
    <w:abstractNumId w:val="4"/>
  </w:num>
  <w:num w:numId="5" w16cid:durableId="829642487">
    <w:abstractNumId w:val="2"/>
  </w:num>
  <w:num w:numId="6" w16cid:durableId="983046640">
    <w:abstractNumId w:val="6"/>
  </w:num>
  <w:num w:numId="7" w16cid:durableId="1989816672">
    <w:abstractNumId w:val="9"/>
  </w:num>
  <w:num w:numId="8" w16cid:durableId="164445650">
    <w:abstractNumId w:val="1"/>
  </w:num>
  <w:num w:numId="9" w16cid:durableId="1337996717">
    <w:abstractNumId w:val="8"/>
  </w:num>
  <w:num w:numId="10" w16cid:durableId="502401610">
    <w:abstractNumId w:val="3"/>
  </w:num>
  <w:num w:numId="11" w16cid:durableId="588198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7"/>
    <w:rsid w:val="0000306C"/>
    <w:rsid w:val="0000309D"/>
    <w:rsid w:val="000061E8"/>
    <w:rsid w:val="00022EBC"/>
    <w:rsid w:val="00031391"/>
    <w:rsid w:val="0003280B"/>
    <w:rsid w:val="00035A0A"/>
    <w:rsid w:val="00037B15"/>
    <w:rsid w:val="0005418D"/>
    <w:rsid w:val="00054726"/>
    <w:rsid w:val="0006036C"/>
    <w:rsid w:val="00060C63"/>
    <w:rsid w:val="0006256D"/>
    <w:rsid w:val="00062C25"/>
    <w:rsid w:val="00065C21"/>
    <w:rsid w:val="00067B74"/>
    <w:rsid w:val="000720FA"/>
    <w:rsid w:val="000722D4"/>
    <w:rsid w:val="00072FC4"/>
    <w:rsid w:val="0007417B"/>
    <w:rsid w:val="00080752"/>
    <w:rsid w:val="00084F20"/>
    <w:rsid w:val="00090F82"/>
    <w:rsid w:val="00096396"/>
    <w:rsid w:val="000A324A"/>
    <w:rsid w:val="000A3B85"/>
    <w:rsid w:val="000B0F9A"/>
    <w:rsid w:val="000B39BA"/>
    <w:rsid w:val="000C0DA0"/>
    <w:rsid w:val="000C0E20"/>
    <w:rsid w:val="000C1B34"/>
    <w:rsid w:val="000C5CA8"/>
    <w:rsid w:val="000D05DC"/>
    <w:rsid w:val="000D0BF2"/>
    <w:rsid w:val="000D46F6"/>
    <w:rsid w:val="000D4797"/>
    <w:rsid w:val="000E0916"/>
    <w:rsid w:val="000E4B83"/>
    <w:rsid w:val="000E4BBC"/>
    <w:rsid w:val="000E5363"/>
    <w:rsid w:val="000F2034"/>
    <w:rsid w:val="000F3624"/>
    <w:rsid w:val="000F4AC3"/>
    <w:rsid w:val="000F502C"/>
    <w:rsid w:val="00101255"/>
    <w:rsid w:val="001066BB"/>
    <w:rsid w:val="00107188"/>
    <w:rsid w:val="00115A80"/>
    <w:rsid w:val="00115FD8"/>
    <w:rsid w:val="001266A4"/>
    <w:rsid w:val="001404DC"/>
    <w:rsid w:val="0015356F"/>
    <w:rsid w:val="00154ADA"/>
    <w:rsid w:val="00155456"/>
    <w:rsid w:val="00156FB7"/>
    <w:rsid w:val="00161EFF"/>
    <w:rsid w:val="00170214"/>
    <w:rsid w:val="0017765C"/>
    <w:rsid w:val="001831DF"/>
    <w:rsid w:val="0019069F"/>
    <w:rsid w:val="001A1907"/>
    <w:rsid w:val="001A2467"/>
    <w:rsid w:val="001A2D34"/>
    <w:rsid w:val="001B0CD8"/>
    <w:rsid w:val="001B19B0"/>
    <w:rsid w:val="001B2B47"/>
    <w:rsid w:val="001B5383"/>
    <w:rsid w:val="001B57BF"/>
    <w:rsid w:val="001B60FD"/>
    <w:rsid w:val="001C5EDA"/>
    <w:rsid w:val="001D07A9"/>
    <w:rsid w:val="001E18C4"/>
    <w:rsid w:val="001E5CA2"/>
    <w:rsid w:val="001E7CA7"/>
    <w:rsid w:val="001F31DE"/>
    <w:rsid w:val="00200302"/>
    <w:rsid w:val="00205612"/>
    <w:rsid w:val="002077F9"/>
    <w:rsid w:val="002106DC"/>
    <w:rsid w:val="0021173F"/>
    <w:rsid w:val="00216D18"/>
    <w:rsid w:val="00222C0B"/>
    <w:rsid w:val="00230599"/>
    <w:rsid w:val="002317D2"/>
    <w:rsid w:val="0023538C"/>
    <w:rsid w:val="002356D6"/>
    <w:rsid w:val="002500EE"/>
    <w:rsid w:val="002503E5"/>
    <w:rsid w:val="0025440F"/>
    <w:rsid w:val="0026050F"/>
    <w:rsid w:val="00276334"/>
    <w:rsid w:val="00276D51"/>
    <w:rsid w:val="002777A3"/>
    <w:rsid w:val="0028135D"/>
    <w:rsid w:val="0028454A"/>
    <w:rsid w:val="00284B8C"/>
    <w:rsid w:val="00285ED3"/>
    <w:rsid w:val="00286868"/>
    <w:rsid w:val="0029080E"/>
    <w:rsid w:val="002A025A"/>
    <w:rsid w:val="002A2B9B"/>
    <w:rsid w:val="002A3EE5"/>
    <w:rsid w:val="002A6A9A"/>
    <w:rsid w:val="002C6529"/>
    <w:rsid w:val="002D71EA"/>
    <w:rsid w:val="002E1656"/>
    <w:rsid w:val="002E1BB7"/>
    <w:rsid w:val="002E2477"/>
    <w:rsid w:val="002E250D"/>
    <w:rsid w:val="002E6EDD"/>
    <w:rsid w:val="00302263"/>
    <w:rsid w:val="00302CA3"/>
    <w:rsid w:val="00322C5D"/>
    <w:rsid w:val="00324775"/>
    <w:rsid w:val="00326A76"/>
    <w:rsid w:val="003274C5"/>
    <w:rsid w:val="00331877"/>
    <w:rsid w:val="003334DC"/>
    <w:rsid w:val="003336A8"/>
    <w:rsid w:val="00335B81"/>
    <w:rsid w:val="00335E66"/>
    <w:rsid w:val="00344480"/>
    <w:rsid w:val="00346E73"/>
    <w:rsid w:val="003503A7"/>
    <w:rsid w:val="0035216E"/>
    <w:rsid w:val="0035281A"/>
    <w:rsid w:val="00357E1D"/>
    <w:rsid w:val="003713C8"/>
    <w:rsid w:val="00381689"/>
    <w:rsid w:val="00384C80"/>
    <w:rsid w:val="003909B7"/>
    <w:rsid w:val="003958DC"/>
    <w:rsid w:val="00396AD6"/>
    <w:rsid w:val="003A360F"/>
    <w:rsid w:val="003A70A3"/>
    <w:rsid w:val="003A7ED8"/>
    <w:rsid w:val="003B768F"/>
    <w:rsid w:val="003B7B58"/>
    <w:rsid w:val="003D0712"/>
    <w:rsid w:val="003D1A4A"/>
    <w:rsid w:val="003D3315"/>
    <w:rsid w:val="003D3495"/>
    <w:rsid w:val="003D40E6"/>
    <w:rsid w:val="003E1007"/>
    <w:rsid w:val="003E5544"/>
    <w:rsid w:val="003E55C0"/>
    <w:rsid w:val="003E5942"/>
    <w:rsid w:val="003E752F"/>
    <w:rsid w:val="003E7802"/>
    <w:rsid w:val="003E7EA6"/>
    <w:rsid w:val="003F0FE1"/>
    <w:rsid w:val="003F3EF5"/>
    <w:rsid w:val="003F46F1"/>
    <w:rsid w:val="003F61DC"/>
    <w:rsid w:val="003F640D"/>
    <w:rsid w:val="0040197B"/>
    <w:rsid w:val="004037E9"/>
    <w:rsid w:val="00407BC0"/>
    <w:rsid w:val="00412557"/>
    <w:rsid w:val="00412E96"/>
    <w:rsid w:val="00413F7F"/>
    <w:rsid w:val="00415441"/>
    <w:rsid w:val="004168B9"/>
    <w:rsid w:val="0041772B"/>
    <w:rsid w:val="00425961"/>
    <w:rsid w:val="00427AE8"/>
    <w:rsid w:val="004318A8"/>
    <w:rsid w:val="004326B2"/>
    <w:rsid w:val="004331C9"/>
    <w:rsid w:val="00433316"/>
    <w:rsid w:val="004348C2"/>
    <w:rsid w:val="0044394E"/>
    <w:rsid w:val="00444B54"/>
    <w:rsid w:val="004471D0"/>
    <w:rsid w:val="004508F9"/>
    <w:rsid w:val="00450AA1"/>
    <w:rsid w:val="00451A48"/>
    <w:rsid w:val="004527E1"/>
    <w:rsid w:val="00453911"/>
    <w:rsid w:val="00455DE1"/>
    <w:rsid w:val="00463768"/>
    <w:rsid w:val="004663E9"/>
    <w:rsid w:val="00467368"/>
    <w:rsid w:val="00467900"/>
    <w:rsid w:val="0047029C"/>
    <w:rsid w:val="00470C9C"/>
    <w:rsid w:val="00474DBA"/>
    <w:rsid w:val="00474F10"/>
    <w:rsid w:val="00475098"/>
    <w:rsid w:val="004760B8"/>
    <w:rsid w:val="00476C1D"/>
    <w:rsid w:val="00477567"/>
    <w:rsid w:val="00482F5B"/>
    <w:rsid w:val="0048392F"/>
    <w:rsid w:val="00483F04"/>
    <w:rsid w:val="00490A86"/>
    <w:rsid w:val="0049160A"/>
    <w:rsid w:val="004A0763"/>
    <w:rsid w:val="004B722A"/>
    <w:rsid w:val="004C08B7"/>
    <w:rsid w:val="004C08FF"/>
    <w:rsid w:val="004C61D9"/>
    <w:rsid w:val="004D07F8"/>
    <w:rsid w:val="004D6BE1"/>
    <w:rsid w:val="004E5F40"/>
    <w:rsid w:val="004E6A74"/>
    <w:rsid w:val="004F0E03"/>
    <w:rsid w:val="004F2CFA"/>
    <w:rsid w:val="004F35D4"/>
    <w:rsid w:val="004F3EF8"/>
    <w:rsid w:val="004F4524"/>
    <w:rsid w:val="004F60D8"/>
    <w:rsid w:val="004F753A"/>
    <w:rsid w:val="005000F8"/>
    <w:rsid w:val="00504F42"/>
    <w:rsid w:val="00506337"/>
    <w:rsid w:val="00522B2D"/>
    <w:rsid w:val="00526515"/>
    <w:rsid w:val="005270B3"/>
    <w:rsid w:val="00530706"/>
    <w:rsid w:val="00543181"/>
    <w:rsid w:val="00543784"/>
    <w:rsid w:val="00547E7C"/>
    <w:rsid w:val="0055047E"/>
    <w:rsid w:val="005508D7"/>
    <w:rsid w:val="00553049"/>
    <w:rsid w:val="00560BBC"/>
    <w:rsid w:val="005626ED"/>
    <w:rsid w:val="00567677"/>
    <w:rsid w:val="0057032B"/>
    <w:rsid w:val="00571543"/>
    <w:rsid w:val="00571CA8"/>
    <w:rsid w:val="00573996"/>
    <w:rsid w:val="00576C3C"/>
    <w:rsid w:val="005870A3"/>
    <w:rsid w:val="0058EAD3"/>
    <w:rsid w:val="00591C40"/>
    <w:rsid w:val="00593C8F"/>
    <w:rsid w:val="005940EC"/>
    <w:rsid w:val="00595BD7"/>
    <w:rsid w:val="005968AB"/>
    <w:rsid w:val="00597892"/>
    <w:rsid w:val="005A6B87"/>
    <w:rsid w:val="005B1C06"/>
    <w:rsid w:val="005B20CF"/>
    <w:rsid w:val="005B2270"/>
    <w:rsid w:val="005B2D61"/>
    <w:rsid w:val="005B3033"/>
    <w:rsid w:val="005B35B0"/>
    <w:rsid w:val="005B455F"/>
    <w:rsid w:val="005B57F9"/>
    <w:rsid w:val="005B7D15"/>
    <w:rsid w:val="005C1A98"/>
    <w:rsid w:val="005C22B1"/>
    <w:rsid w:val="005C42A1"/>
    <w:rsid w:val="005C5C7C"/>
    <w:rsid w:val="005C7B49"/>
    <w:rsid w:val="005D0340"/>
    <w:rsid w:val="005D282B"/>
    <w:rsid w:val="005D6A4D"/>
    <w:rsid w:val="005D71D0"/>
    <w:rsid w:val="005E00DD"/>
    <w:rsid w:val="005E2D7D"/>
    <w:rsid w:val="005E2FF8"/>
    <w:rsid w:val="005E43CD"/>
    <w:rsid w:val="005E5E08"/>
    <w:rsid w:val="005E6815"/>
    <w:rsid w:val="005E7234"/>
    <w:rsid w:val="005E7FF3"/>
    <w:rsid w:val="005F2450"/>
    <w:rsid w:val="006025B4"/>
    <w:rsid w:val="00612A20"/>
    <w:rsid w:val="006142C7"/>
    <w:rsid w:val="00615F67"/>
    <w:rsid w:val="006261BF"/>
    <w:rsid w:val="006271FF"/>
    <w:rsid w:val="006341C5"/>
    <w:rsid w:val="006358F1"/>
    <w:rsid w:val="00641147"/>
    <w:rsid w:val="0064201A"/>
    <w:rsid w:val="00642D1D"/>
    <w:rsid w:val="00656746"/>
    <w:rsid w:val="006623C5"/>
    <w:rsid w:val="006625D9"/>
    <w:rsid w:val="00665F10"/>
    <w:rsid w:val="006738D6"/>
    <w:rsid w:val="00674CB1"/>
    <w:rsid w:val="00680C1F"/>
    <w:rsid w:val="00680C90"/>
    <w:rsid w:val="00683A28"/>
    <w:rsid w:val="00686C2C"/>
    <w:rsid w:val="00691F5E"/>
    <w:rsid w:val="00696559"/>
    <w:rsid w:val="006A049F"/>
    <w:rsid w:val="006A1E2C"/>
    <w:rsid w:val="006A4C50"/>
    <w:rsid w:val="006A6F43"/>
    <w:rsid w:val="006B127F"/>
    <w:rsid w:val="006B2A84"/>
    <w:rsid w:val="006B746D"/>
    <w:rsid w:val="006B7E0D"/>
    <w:rsid w:val="006C143E"/>
    <w:rsid w:val="006C26D8"/>
    <w:rsid w:val="006C29D6"/>
    <w:rsid w:val="006C7704"/>
    <w:rsid w:val="006D2FE4"/>
    <w:rsid w:val="006D3C59"/>
    <w:rsid w:val="006D8841"/>
    <w:rsid w:val="006E1233"/>
    <w:rsid w:val="006E201B"/>
    <w:rsid w:val="006E630A"/>
    <w:rsid w:val="006E68D2"/>
    <w:rsid w:val="006E702F"/>
    <w:rsid w:val="006F33A8"/>
    <w:rsid w:val="006F5CB9"/>
    <w:rsid w:val="0070036C"/>
    <w:rsid w:val="0070341F"/>
    <w:rsid w:val="00704214"/>
    <w:rsid w:val="00706116"/>
    <w:rsid w:val="00716DCB"/>
    <w:rsid w:val="00721463"/>
    <w:rsid w:val="0072210B"/>
    <w:rsid w:val="007340ED"/>
    <w:rsid w:val="00740188"/>
    <w:rsid w:val="00740D11"/>
    <w:rsid w:val="00741DB5"/>
    <w:rsid w:val="007424CC"/>
    <w:rsid w:val="00744B72"/>
    <w:rsid w:val="0074714A"/>
    <w:rsid w:val="007474D4"/>
    <w:rsid w:val="00760142"/>
    <w:rsid w:val="00767951"/>
    <w:rsid w:val="007708B6"/>
    <w:rsid w:val="00772D1E"/>
    <w:rsid w:val="00773C4D"/>
    <w:rsid w:val="00777B50"/>
    <w:rsid w:val="00780222"/>
    <w:rsid w:val="007845FD"/>
    <w:rsid w:val="00784948"/>
    <w:rsid w:val="00791E5C"/>
    <w:rsid w:val="007975D3"/>
    <w:rsid w:val="007A1467"/>
    <w:rsid w:val="007A233A"/>
    <w:rsid w:val="007A757C"/>
    <w:rsid w:val="007A799E"/>
    <w:rsid w:val="007B62C1"/>
    <w:rsid w:val="007C25C5"/>
    <w:rsid w:val="007C3094"/>
    <w:rsid w:val="007C42EB"/>
    <w:rsid w:val="007D12AB"/>
    <w:rsid w:val="007D1D8D"/>
    <w:rsid w:val="007D4640"/>
    <w:rsid w:val="007D7D44"/>
    <w:rsid w:val="007E085B"/>
    <w:rsid w:val="007E2E07"/>
    <w:rsid w:val="007E35F7"/>
    <w:rsid w:val="007E572C"/>
    <w:rsid w:val="007E60CE"/>
    <w:rsid w:val="007E774E"/>
    <w:rsid w:val="00800E0E"/>
    <w:rsid w:val="00803FFD"/>
    <w:rsid w:val="0080451B"/>
    <w:rsid w:val="00805D24"/>
    <w:rsid w:val="00806921"/>
    <w:rsid w:val="00813712"/>
    <w:rsid w:val="00814F35"/>
    <w:rsid w:val="00815C07"/>
    <w:rsid w:val="00816FCC"/>
    <w:rsid w:val="00820E43"/>
    <w:rsid w:val="00821703"/>
    <w:rsid w:val="00821A2B"/>
    <w:rsid w:val="00825B6C"/>
    <w:rsid w:val="00826567"/>
    <w:rsid w:val="00827E12"/>
    <w:rsid w:val="00836231"/>
    <w:rsid w:val="00842E90"/>
    <w:rsid w:val="008513EE"/>
    <w:rsid w:val="00862BDD"/>
    <w:rsid w:val="00863548"/>
    <w:rsid w:val="00864C79"/>
    <w:rsid w:val="008665AE"/>
    <w:rsid w:val="0086776C"/>
    <w:rsid w:val="00870B39"/>
    <w:rsid w:val="0087296E"/>
    <w:rsid w:val="00873FAB"/>
    <w:rsid w:val="0087401F"/>
    <w:rsid w:val="00874AD0"/>
    <w:rsid w:val="00874FF4"/>
    <w:rsid w:val="0088109A"/>
    <w:rsid w:val="008863DB"/>
    <w:rsid w:val="00887052"/>
    <w:rsid w:val="008913C5"/>
    <w:rsid w:val="00891431"/>
    <w:rsid w:val="00892DD2"/>
    <w:rsid w:val="00897661"/>
    <w:rsid w:val="008A0C18"/>
    <w:rsid w:val="008A683C"/>
    <w:rsid w:val="008A6EDB"/>
    <w:rsid w:val="008B363F"/>
    <w:rsid w:val="008B4031"/>
    <w:rsid w:val="008C0867"/>
    <w:rsid w:val="008C0A5D"/>
    <w:rsid w:val="008C5956"/>
    <w:rsid w:val="008D64A4"/>
    <w:rsid w:val="008D70D2"/>
    <w:rsid w:val="008E162B"/>
    <w:rsid w:val="008E2FE7"/>
    <w:rsid w:val="008E7F97"/>
    <w:rsid w:val="008F6097"/>
    <w:rsid w:val="008F60D5"/>
    <w:rsid w:val="009059D8"/>
    <w:rsid w:val="009060E2"/>
    <w:rsid w:val="00911614"/>
    <w:rsid w:val="009161CA"/>
    <w:rsid w:val="00922953"/>
    <w:rsid w:val="009229F4"/>
    <w:rsid w:val="00923E47"/>
    <w:rsid w:val="00926089"/>
    <w:rsid w:val="00927A1B"/>
    <w:rsid w:val="00927F82"/>
    <w:rsid w:val="009369D6"/>
    <w:rsid w:val="009402FC"/>
    <w:rsid w:val="00945EA8"/>
    <w:rsid w:val="009534D3"/>
    <w:rsid w:val="009567FA"/>
    <w:rsid w:val="00956CD7"/>
    <w:rsid w:val="00963059"/>
    <w:rsid w:val="009704FC"/>
    <w:rsid w:val="0097063D"/>
    <w:rsid w:val="00971046"/>
    <w:rsid w:val="00993BD5"/>
    <w:rsid w:val="009974B4"/>
    <w:rsid w:val="00997A42"/>
    <w:rsid w:val="00997E63"/>
    <w:rsid w:val="009A21E4"/>
    <w:rsid w:val="009A2735"/>
    <w:rsid w:val="009A2F70"/>
    <w:rsid w:val="009B12DF"/>
    <w:rsid w:val="009B5557"/>
    <w:rsid w:val="009B561D"/>
    <w:rsid w:val="009B70F5"/>
    <w:rsid w:val="009B7F9E"/>
    <w:rsid w:val="009C2720"/>
    <w:rsid w:val="009C27AF"/>
    <w:rsid w:val="009C7E38"/>
    <w:rsid w:val="009D48B0"/>
    <w:rsid w:val="009D5597"/>
    <w:rsid w:val="009D5983"/>
    <w:rsid w:val="009E07FF"/>
    <w:rsid w:val="009E4221"/>
    <w:rsid w:val="009E5409"/>
    <w:rsid w:val="009F103A"/>
    <w:rsid w:val="009F2E59"/>
    <w:rsid w:val="009F5570"/>
    <w:rsid w:val="009F774D"/>
    <w:rsid w:val="009F77F6"/>
    <w:rsid w:val="00A01B3F"/>
    <w:rsid w:val="00A02390"/>
    <w:rsid w:val="00A108EA"/>
    <w:rsid w:val="00A119B6"/>
    <w:rsid w:val="00A11AF8"/>
    <w:rsid w:val="00A12BAB"/>
    <w:rsid w:val="00A14349"/>
    <w:rsid w:val="00A21244"/>
    <w:rsid w:val="00A23352"/>
    <w:rsid w:val="00A24F7F"/>
    <w:rsid w:val="00A27EE5"/>
    <w:rsid w:val="00A322FD"/>
    <w:rsid w:val="00A341F4"/>
    <w:rsid w:val="00A4076D"/>
    <w:rsid w:val="00A40D42"/>
    <w:rsid w:val="00A41394"/>
    <w:rsid w:val="00A46318"/>
    <w:rsid w:val="00A5760F"/>
    <w:rsid w:val="00A610A0"/>
    <w:rsid w:val="00A624CA"/>
    <w:rsid w:val="00A6474A"/>
    <w:rsid w:val="00A65C2E"/>
    <w:rsid w:val="00A66B86"/>
    <w:rsid w:val="00A71AAA"/>
    <w:rsid w:val="00A7373C"/>
    <w:rsid w:val="00A8359D"/>
    <w:rsid w:val="00A92370"/>
    <w:rsid w:val="00A931C4"/>
    <w:rsid w:val="00A94050"/>
    <w:rsid w:val="00A94648"/>
    <w:rsid w:val="00A9575F"/>
    <w:rsid w:val="00A95B58"/>
    <w:rsid w:val="00A97470"/>
    <w:rsid w:val="00AA49EC"/>
    <w:rsid w:val="00AA67FF"/>
    <w:rsid w:val="00AA707F"/>
    <w:rsid w:val="00AA7946"/>
    <w:rsid w:val="00AA7A1F"/>
    <w:rsid w:val="00AB2F11"/>
    <w:rsid w:val="00AB3C22"/>
    <w:rsid w:val="00AB4B09"/>
    <w:rsid w:val="00AB7189"/>
    <w:rsid w:val="00AC0EE6"/>
    <w:rsid w:val="00AC1628"/>
    <w:rsid w:val="00AC2633"/>
    <w:rsid w:val="00AC3F90"/>
    <w:rsid w:val="00AC6AD6"/>
    <w:rsid w:val="00AD05FA"/>
    <w:rsid w:val="00AD228F"/>
    <w:rsid w:val="00AD380E"/>
    <w:rsid w:val="00AD41EA"/>
    <w:rsid w:val="00AD4D52"/>
    <w:rsid w:val="00AD4F81"/>
    <w:rsid w:val="00AD51D5"/>
    <w:rsid w:val="00AD75CF"/>
    <w:rsid w:val="00AE373A"/>
    <w:rsid w:val="00AE3C15"/>
    <w:rsid w:val="00AE559D"/>
    <w:rsid w:val="00AF1925"/>
    <w:rsid w:val="00AF29EA"/>
    <w:rsid w:val="00AF2D52"/>
    <w:rsid w:val="00AF7BD4"/>
    <w:rsid w:val="00B06C41"/>
    <w:rsid w:val="00B071AF"/>
    <w:rsid w:val="00B07A5A"/>
    <w:rsid w:val="00B12196"/>
    <w:rsid w:val="00B174BA"/>
    <w:rsid w:val="00B265FF"/>
    <w:rsid w:val="00B26FA5"/>
    <w:rsid w:val="00B304ED"/>
    <w:rsid w:val="00B30CD4"/>
    <w:rsid w:val="00B31B97"/>
    <w:rsid w:val="00B3372F"/>
    <w:rsid w:val="00B42176"/>
    <w:rsid w:val="00B42908"/>
    <w:rsid w:val="00B44A0C"/>
    <w:rsid w:val="00B50EC2"/>
    <w:rsid w:val="00B56BC4"/>
    <w:rsid w:val="00B6240B"/>
    <w:rsid w:val="00B62997"/>
    <w:rsid w:val="00B74620"/>
    <w:rsid w:val="00B754B2"/>
    <w:rsid w:val="00B805E9"/>
    <w:rsid w:val="00B83E7D"/>
    <w:rsid w:val="00B86ED2"/>
    <w:rsid w:val="00B87D10"/>
    <w:rsid w:val="00B950B9"/>
    <w:rsid w:val="00B96CEB"/>
    <w:rsid w:val="00BA1AFB"/>
    <w:rsid w:val="00BA3B3C"/>
    <w:rsid w:val="00BA3B54"/>
    <w:rsid w:val="00BB2F10"/>
    <w:rsid w:val="00BB7815"/>
    <w:rsid w:val="00BB7A89"/>
    <w:rsid w:val="00BC686B"/>
    <w:rsid w:val="00BD17B9"/>
    <w:rsid w:val="00BD6411"/>
    <w:rsid w:val="00BD6E9E"/>
    <w:rsid w:val="00BF06FC"/>
    <w:rsid w:val="00C032AC"/>
    <w:rsid w:val="00C047BE"/>
    <w:rsid w:val="00C052B0"/>
    <w:rsid w:val="00C052DF"/>
    <w:rsid w:val="00C117E7"/>
    <w:rsid w:val="00C22167"/>
    <w:rsid w:val="00C231D9"/>
    <w:rsid w:val="00C231DD"/>
    <w:rsid w:val="00C238E7"/>
    <w:rsid w:val="00C26104"/>
    <w:rsid w:val="00C33A27"/>
    <w:rsid w:val="00C432F1"/>
    <w:rsid w:val="00C43729"/>
    <w:rsid w:val="00C449C5"/>
    <w:rsid w:val="00C5512F"/>
    <w:rsid w:val="00C55EBD"/>
    <w:rsid w:val="00C56402"/>
    <w:rsid w:val="00C6014F"/>
    <w:rsid w:val="00C622C8"/>
    <w:rsid w:val="00C64973"/>
    <w:rsid w:val="00C65351"/>
    <w:rsid w:val="00C6656F"/>
    <w:rsid w:val="00C66B51"/>
    <w:rsid w:val="00C75C94"/>
    <w:rsid w:val="00C77B7C"/>
    <w:rsid w:val="00C845A3"/>
    <w:rsid w:val="00C85CAC"/>
    <w:rsid w:val="00C90CB6"/>
    <w:rsid w:val="00C96344"/>
    <w:rsid w:val="00CA0197"/>
    <w:rsid w:val="00CA174B"/>
    <w:rsid w:val="00CA2515"/>
    <w:rsid w:val="00CA5E27"/>
    <w:rsid w:val="00CB1A95"/>
    <w:rsid w:val="00CB1F33"/>
    <w:rsid w:val="00CB3B69"/>
    <w:rsid w:val="00CB4D86"/>
    <w:rsid w:val="00CC278E"/>
    <w:rsid w:val="00CC611E"/>
    <w:rsid w:val="00CD1810"/>
    <w:rsid w:val="00CD3463"/>
    <w:rsid w:val="00CE4241"/>
    <w:rsid w:val="00CF0EEB"/>
    <w:rsid w:val="00CF133C"/>
    <w:rsid w:val="00CF17CD"/>
    <w:rsid w:val="00CF26D6"/>
    <w:rsid w:val="00CF5685"/>
    <w:rsid w:val="00D06A73"/>
    <w:rsid w:val="00D11C60"/>
    <w:rsid w:val="00D12D33"/>
    <w:rsid w:val="00D15078"/>
    <w:rsid w:val="00D16B85"/>
    <w:rsid w:val="00D1782F"/>
    <w:rsid w:val="00D20352"/>
    <w:rsid w:val="00D2526E"/>
    <w:rsid w:val="00D26294"/>
    <w:rsid w:val="00D3133C"/>
    <w:rsid w:val="00D31BC2"/>
    <w:rsid w:val="00D31C29"/>
    <w:rsid w:val="00D336F2"/>
    <w:rsid w:val="00D352A7"/>
    <w:rsid w:val="00D3541B"/>
    <w:rsid w:val="00D374E2"/>
    <w:rsid w:val="00D40203"/>
    <w:rsid w:val="00D43570"/>
    <w:rsid w:val="00D46274"/>
    <w:rsid w:val="00D521F0"/>
    <w:rsid w:val="00D5324E"/>
    <w:rsid w:val="00D569B3"/>
    <w:rsid w:val="00D606A5"/>
    <w:rsid w:val="00D65AC5"/>
    <w:rsid w:val="00D6699B"/>
    <w:rsid w:val="00D67722"/>
    <w:rsid w:val="00D7137A"/>
    <w:rsid w:val="00D73213"/>
    <w:rsid w:val="00D758AC"/>
    <w:rsid w:val="00D91331"/>
    <w:rsid w:val="00D917DB"/>
    <w:rsid w:val="00DB07F2"/>
    <w:rsid w:val="00DB3EA7"/>
    <w:rsid w:val="00DC253A"/>
    <w:rsid w:val="00DC7E7B"/>
    <w:rsid w:val="00DC7EDA"/>
    <w:rsid w:val="00DD30A1"/>
    <w:rsid w:val="00DD7652"/>
    <w:rsid w:val="00DE15B9"/>
    <w:rsid w:val="00DE58A4"/>
    <w:rsid w:val="00DE7DA0"/>
    <w:rsid w:val="00DF1AEA"/>
    <w:rsid w:val="00DF1BA5"/>
    <w:rsid w:val="00DF270D"/>
    <w:rsid w:val="00DF3662"/>
    <w:rsid w:val="00DF41C2"/>
    <w:rsid w:val="00DF5EF7"/>
    <w:rsid w:val="00DF7826"/>
    <w:rsid w:val="00DF7DD3"/>
    <w:rsid w:val="00E00317"/>
    <w:rsid w:val="00E01DB3"/>
    <w:rsid w:val="00E04671"/>
    <w:rsid w:val="00E07BB9"/>
    <w:rsid w:val="00E10016"/>
    <w:rsid w:val="00E135E9"/>
    <w:rsid w:val="00E178CE"/>
    <w:rsid w:val="00E21A59"/>
    <w:rsid w:val="00E23D59"/>
    <w:rsid w:val="00E3499D"/>
    <w:rsid w:val="00E34FB8"/>
    <w:rsid w:val="00E3503E"/>
    <w:rsid w:val="00E3589D"/>
    <w:rsid w:val="00E40F86"/>
    <w:rsid w:val="00E42405"/>
    <w:rsid w:val="00E43879"/>
    <w:rsid w:val="00E45FEC"/>
    <w:rsid w:val="00E5334B"/>
    <w:rsid w:val="00E577C8"/>
    <w:rsid w:val="00E62ACB"/>
    <w:rsid w:val="00E63637"/>
    <w:rsid w:val="00E67720"/>
    <w:rsid w:val="00E76CA0"/>
    <w:rsid w:val="00E847AD"/>
    <w:rsid w:val="00E91A3A"/>
    <w:rsid w:val="00E97232"/>
    <w:rsid w:val="00E97F33"/>
    <w:rsid w:val="00EA3781"/>
    <w:rsid w:val="00EA3BB3"/>
    <w:rsid w:val="00EB01FE"/>
    <w:rsid w:val="00EB2C95"/>
    <w:rsid w:val="00EB709B"/>
    <w:rsid w:val="00EC056D"/>
    <w:rsid w:val="00EC1745"/>
    <w:rsid w:val="00EC5880"/>
    <w:rsid w:val="00ED2596"/>
    <w:rsid w:val="00ED5512"/>
    <w:rsid w:val="00EE28EA"/>
    <w:rsid w:val="00EE5E27"/>
    <w:rsid w:val="00EF1378"/>
    <w:rsid w:val="00EF18CA"/>
    <w:rsid w:val="00EF6EEF"/>
    <w:rsid w:val="00EF73EE"/>
    <w:rsid w:val="00F01A88"/>
    <w:rsid w:val="00F0243B"/>
    <w:rsid w:val="00F02F92"/>
    <w:rsid w:val="00F03733"/>
    <w:rsid w:val="00F04E4A"/>
    <w:rsid w:val="00F04F95"/>
    <w:rsid w:val="00F10EE7"/>
    <w:rsid w:val="00F13BF6"/>
    <w:rsid w:val="00F154D3"/>
    <w:rsid w:val="00F15A3D"/>
    <w:rsid w:val="00F17F05"/>
    <w:rsid w:val="00F22662"/>
    <w:rsid w:val="00F23D47"/>
    <w:rsid w:val="00F3130D"/>
    <w:rsid w:val="00F32ECC"/>
    <w:rsid w:val="00F33A85"/>
    <w:rsid w:val="00F340DC"/>
    <w:rsid w:val="00F4322F"/>
    <w:rsid w:val="00F435B2"/>
    <w:rsid w:val="00F446F2"/>
    <w:rsid w:val="00F45FF7"/>
    <w:rsid w:val="00F46ACB"/>
    <w:rsid w:val="00F47CCD"/>
    <w:rsid w:val="00F51217"/>
    <w:rsid w:val="00F521A5"/>
    <w:rsid w:val="00F53715"/>
    <w:rsid w:val="00F550FC"/>
    <w:rsid w:val="00F55566"/>
    <w:rsid w:val="00F55757"/>
    <w:rsid w:val="00F5667C"/>
    <w:rsid w:val="00F57CD1"/>
    <w:rsid w:val="00F61657"/>
    <w:rsid w:val="00F63272"/>
    <w:rsid w:val="00F716C8"/>
    <w:rsid w:val="00F72E77"/>
    <w:rsid w:val="00F80572"/>
    <w:rsid w:val="00F811AE"/>
    <w:rsid w:val="00F81D77"/>
    <w:rsid w:val="00F8287C"/>
    <w:rsid w:val="00F85845"/>
    <w:rsid w:val="00F86B93"/>
    <w:rsid w:val="00FA2338"/>
    <w:rsid w:val="00FA3FE3"/>
    <w:rsid w:val="00FB4010"/>
    <w:rsid w:val="00FB4683"/>
    <w:rsid w:val="00FB5641"/>
    <w:rsid w:val="00FC0519"/>
    <w:rsid w:val="00FC6ABC"/>
    <w:rsid w:val="00FC71AB"/>
    <w:rsid w:val="00FD12AC"/>
    <w:rsid w:val="00FD27DC"/>
    <w:rsid w:val="00FD3475"/>
    <w:rsid w:val="00FF246E"/>
    <w:rsid w:val="00FF27D2"/>
    <w:rsid w:val="01309EA4"/>
    <w:rsid w:val="019B51DD"/>
    <w:rsid w:val="01A63B2E"/>
    <w:rsid w:val="01E1AE6B"/>
    <w:rsid w:val="02113F33"/>
    <w:rsid w:val="022AD0DE"/>
    <w:rsid w:val="022C9C59"/>
    <w:rsid w:val="0249A6A0"/>
    <w:rsid w:val="02563622"/>
    <w:rsid w:val="02C6D5FD"/>
    <w:rsid w:val="02C82A93"/>
    <w:rsid w:val="02EA695A"/>
    <w:rsid w:val="03901197"/>
    <w:rsid w:val="03904688"/>
    <w:rsid w:val="04FA4733"/>
    <w:rsid w:val="05128650"/>
    <w:rsid w:val="0525FD37"/>
    <w:rsid w:val="053D0DF1"/>
    <w:rsid w:val="065F8AAB"/>
    <w:rsid w:val="07F7D069"/>
    <w:rsid w:val="084AEC31"/>
    <w:rsid w:val="086025A1"/>
    <w:rsid w:val="089E28C2"/>
    <w:rsid w:val="08B4FB53"/>
    <w:rsid w:val="08C757EC"/>
    <w:rsid w:val="0A0CA9D8"/>
    <w:rsid w:val="0A6EC739"/>
    <w:rsid w:val="0A6F5BB0"/>
    <w:rsid w:val="0B04CF52"/>
    <w:rsid w:val="0B0CFF22"/>
    <w:rsid w:val="0D1DBC06"/>
    <w:rsid w:val="0D2C2D34"/>
    <w:rsid w:val="0D715EC9"/>
    <w:rsid w:val="0D74D71B"/>
    <w:rsid w:val="0DA664FA"/>
    <w:rsid w:val="0DAC6A8A"/>
    <w:rsid w:val="0DB966D9"/>
    <w:rsid w:val="0E6F30A9"/>
    <w:rsid w:val="0E9AA216"/>
    <w:rsid w:val="0FB076C9"/>
    <w:rsid w:val="10585BD9"/>
    <w:rsid w:val="10AF6D33"/>
    <w:rsid w:val="10F8148E"/>
    <w:rsid w:val="1128BE27"/>
    <w:rsid w:val="113E5B6D"/>
    <w:rsid w:val="11753CFA"/>
    <w:rsid w:val="118DF51D"/>
    <w:rsid w:val="11D5E4EA"/>
    <w:rsid w:val="11E912D9"/>
    <w:rsid w:val="120F36FE"/>
    <w:rsid w:val="123F08F2"/>
    <w:rsid w:val="128A5F54"/>
    <w:rsid w:val="12938ABC"/>
    <w:rsid w:val="12B4467F"/>
    <w:rsid w:val="12EE903F"/>
    <w:rsid w:val="134F13DE"/>
    <w:rsid w:val="1360D317"/>
    <w:rsid w:val="1392DAA0"/>
    <w:rsid w:val="13AC3894"/>
    <w:rsid w:val="13B7C56C"/>
    <w:rsid w:val="13B9FDE5"/>
    <w:rsid w:val="13C13D4F"/>
    <w:rsid w:val="13FAA107"/>
    <w:rsid w:val="14673849"/>
    <w:rsid w:val="14D27F74"/>
    <w:rsid w:val="14D6F2D2"/>
    <w:rsid w:val="155D0DB0"/>
    <w:rsid w:val="156DE1B1"/>
    <w:rsid w:val="158B8EED"/>
    <w:rsid w:val="15947B95"/>
    <w:rsid w:val="15FFB2D3"/>
    <w:rsid w:val="16169874"/>
    <w:rsid w:val="16306B26"/>
    <w:rsid w:val="16412639"/>
    <w:rsid w:val="167825EC"/>
    <w:rsid w:val="16861D28"/>
    <w:rsid w:val="16F507C5"/>
    <w:rsid w:val="1713A789"/>
    <w:rsid w:val="173E891E"/>
    <w:rsid w:val="1774BCB3"/>
    <w:rsid w:val="17C97607"/>
    <w:rsid w:val="17F2BD87"/>
    <w:rsid w:val="18A4EAFB"/>
    <w:rsid w:val="18B4742B"/>
    <w:rsid w:val="18BFC489"/>
    <w:rsid w:val="18FEB32E"/>
    <w:rsid w:val="1919B9D4"/>
    <w:rsid w:val="191E6750"/>
    <w:rsid w:val="19D26D60"/>
    <w:rsid w:val="19F4D401"/>
    <w:rsid w:val="1A0E3B1D"/>
    <w:rsid w:val="1BC65AE7"/>
    <w:rsid w:val="1C1079AB"/>
    <w:rsid w:val="1C1E054A"/>
    <w:rsid w:val="1C287318"/>
    <w:rsid w:val="1C32F283"/>
    <w:rsid w:val="1D6CF179"/>
    <w:rsid w:val="1E06DC1B"/>
    <w:rsid w:val="1E24D8E7"/>
    <w:rsid w:val="1E3DC6E5"/>
    <w:rsid w:val="1E612F5D"/>
    <w:rsid w:val="1E682502"/>
    <w:rsid w:val="1E750AE5"/>
    <w:rsid w:val="1EAC4043"/>
    <w:rsid w:val="1ED64D3A"/>
    <w:rsid w:val="1EE4D479"/>
    <w:rsid w:val="1F35A179"/>
    <w:rsid w:val="1F437313"/>
    <w:rsid w:val="1F6DF4B2"/>
    <w:rsid w:val="1FA2F932"/>
    <w:rsid w:val="1FCD8524"/>
    <w:rsid w:val="1FD048D0"/>
    <w:rsid w:val="2005F639"/>
    <w:rsid w:val="2053791E"/>
    <w:rsid w:val="206AA14A"/>
    <w:rsid w:val="208F9155"/>
    <w:rsid w:val="20CA10C6"/>
    <w:rsid w:val="21B446E4"/>
    <w:rsid w:val="21C7A0DF"/>
    <w:rsid w:val="2217610E"/>
    <w:rsid w:val="2229CCE3"/>
    <w:rsid w:val="2240091F"/>
    <w:rsid w:val="226D11BD"/>
    <w:rsid w:val="234B3235"/>
    <w:rsid w:val="24A5A0AC"/>
    <w:rsid w:val="24CD5C7D"/>
    <w:rsid w:val="253D4824"/>
    <w:rsid w:val="25525F12"/>
    <w:rsid w:val="25A8B908"/>
    <w:rsid w:val="266E51B2"/>
    <w:rsid w:val="26770CDC"/>
    <w:rsid w:val="2680296B"/>
    <w:rsid w:val="26ABB65C"/>
    <w:rsid w:val="26B509AF"/>
    <w:rsid w:val="26BBBE0D"/>
    <w:rsid w:val="26F360D6"/>
    <w:rsid w:val="27B1A7B8"/>
    <w:rsid w:val="27B586D5"/>
    <w:rsid w:val="27EA6390"/>
    <w:rsid w:val="2802C4CE"/>
    <w:rsid w:val="280C77C1"/>
    <w:rsid w:val="285A12F4"/>
    <w:rsid w:val="292F2FC4"/>
    <w:rsid w:val="2995965A"/>
    <w:rsid w:val="2A17E3FD"/>
    <w:rsid w:val="2A3DB6C9"/>
    <w:rsid w:val="2AF3397D"/>
    <w:rsid w:val="2B1C7A54"/>
    <w:rsid w:val="2B55F04F"/>
    <w:rsid w:val="2B6663C9"/>
    <w:rsid w:val="2B69DAC8"/>
    <w:rsid w:val="2B8C70DF"/>
    <w:rsid w:val="2B8E7593"/>
    <w:rsid w:val="2BF03385"/>
    <w:rsid w:val="2C09D413"/>
    <w:rsid w:val="2C3612DF"/>
    <w:rsid w:val="2CD635F1"/>
    <w:rsid w:val="2D4E4E56"/>
    <w:rsid w:val="2DBBD70E"/>
    <w:rsid w:val="2DE5D819"/>
    <w:rsid w:val="2E161310"/>
    <w:rsid w:val="2E24BB07"/>
    <w:rsid w:val="2F401EA7"/>
    <w:rsid w:val="2F73A0EB"/>
    <w:rsid w:val="2F7C4629"/>
    <w:rsid w:val="2FA22B9D"/>
    <w:rsid w:val="2FD88A0E"/>
    <w:rsid w:val="2FF4B891"/>
    <w:rsid w:val="2FF58716"/>
    <w:rsid w:val="3006B147"/>
    <w:rsid w:val="3099A536"/>
    <w:rsid w:val="30D1D673"/>
    <w:rsid w:val="317A0D05"/>
    <w:rsid w:val="3188A15A"/>
    <w:rsid w:val="318ACC0C"/>
    <w:rsid w:val="31F3B2D7"/>
    <w:rsid w:val="32657E12"/>
    <w:rsid w:val="327C604A"/>
    <w:rsid w:val="327EA056"/>
    <w:rsid w:val="32BDD18C"/>
    <w:rsid w:val="336DEF5E"/>
    <w:rsid w:val="336EF1E0"/>
    <w:rsid w:val="3427C996"/>
    <w:rsid w:val="34499EC1"/>
    <w:rsid w:val="3460F15E"/>
    <w:rsid w:val="34A4F135"/>
    <w:rsid w:val="34F5D938"/>
    <w:rsid w:val="355A732C"/>
    <w:rsid w:val="35A2B7AF"/>
    <w:rsid w:val="361C7A17"/>
    <w:rsid w:val="36DB0C1D"/>
    <w:rsid w:val="3727292A"/>
    <w:rsid w:val="37A2BF44"/>
    <w:rsid w:val="38018474"/>
    <w:rsid w:val="382E81F6"/>
    <w:rsid w:val="3834EBF3"/>
    <w:rsid w:val="386C9C34"/>
    <w:rsid w:val="38DC83B1"/>
    <w:rsid w:val="39098114"/>
    <w:rsid w:val="39165E7E"/>
    <w:rsid w:val="39F2548F"/>
    <w:rsid w:val="3B2E89E8"/>
    <w:rsid w:val="3B3F4E83"/>
    <w:rsid w:val="3C19738F"/>
    <w:rsid w:val="3C5883EA"/>
    <w:rsid w:val="3C73F087"/>
    <w:rsid w:val="3CFB9121"/>
    <w:rsid w:val="3D303632"/>
    <w:rsid w:val="3D46EA08"/>
    <w:rsid w:val="3DA9AA52"/>
    <w:rsid w:val="3DB6D249"/>
    <w:rsid w:val="3E6F8165"/>
    <w:rsid w:val="3E73C05F"/>
    <w:rsid w:val="3E9F0129"/>
    <w:rsid w:val="3EF1FA44"/>
    <w:rsid w:val="3F4FD00D"/>
    <w:rsid w:val="3F7A4DE3"/>
    <w:rsid w:val="3FBC7C03"/>
    <w:rsid w:val="4000C982"/>
    <w:rsid w:val="40B2326D"/>
    <w:rsid w:val="40BB32AA"/>
    <w:rsid w:val="40EC33D1"/>
    <w:rsid w:val="411D712A"/>
    <w:rsid w:val="41364BBA"/>
    <w:rsid w:val="41370B55"/>
    <w:rsid w:val="41463B1D"/>
    <w:rsid w:val="420F855F"/>
    <w:rsid w:val="4250CA46"/>
    <w:rsid w:val="42C3DF8A"/>
    <w:rsid w:val="4344BA2E"/>
    <w:rsid w:val="43B8BA11"/>
    <w:rsid w:val="443635D5"/>
    <w:rsid w:val="444B04EA"/>
    <w:rsid w:val="44B09D4C"/>
    <w:rsid w:val="44E49D32"/>
    <w:rsid w:val="45C3B8AF"/>
    <w:rsid w:val="45E04D52"/>
    <w:rsid w:val="4603F571"/>
    <w:rsid w:val="46084FD5"/>
    <w:rsid w:val="46428069"/>
    <w:rsid w:val="46621808"/>
    <w:rsid w:val="46805656"/>
    <w:rsid w:val="468FBCAD"/>
    <w:rsid w:val="4767A9B6"/>
    <w:rsid w:val="476F466B"/>
    <w:rsid w:val="47F7A3D8"/>
    <w:rsid w:val="47FFE17E"/>
    <w:rsid w:val="482A8382"/>
    <w:rsid w:val="4861B630"/>
    <w:rsid w:val="4886C727"/>
    <w:rsid w:val="48ADB28A"/>
    <w:rsid w:val="48B89599"/>
    <w:rsid w:val="49275FB2"/>
    <w:rsid w:val="49D18D97"/>
    <w:rsid w:val="4A5FD7F2"/>
    <w:rsid w:val="4A849218"/>
    <w:rsid w:val="4AAD64DF"/>
    <w:rsid w:val="4BABB5F1"/>
    <w:rsid w:val="4BAD2CE3"/>
    <w:rsid w:val="4BF27973"/>
    <w:rsid w:val="4CBD2481"/>
    <w:rsid w:val="4D64B788"/>
    <w:rsid w:val="4DAE5202"/>
    <w:rsid w:val="4E1D2641"/>
    <w:rsid w:val="4EC9B5A2"/>
    <w:rsid w:val="4ED57B3C"/>
    <w:rsid w:val="4F019828"/>
    <w:rsid w:val="4F6874C4"/>
    <w:rsid w:val="5176D10E"/>
    <w:rsid w:val="51D5B906"/>
    <w:rsid w:val="5221F543"/>
    <w:rsid w:val="526E6DBA"/>
    <w:rsid w:val="5310B21D"/>
    <w:rsid w:val="535405FB"/>
    <w:rsid w:val="53AE25E9"/>
    <w:rsid w:val="53E32A1C"/>
    <w:rsid w:val="5403DF52"/>
    <w:rsid w:val="540AEF80"/>
    <w:rsid w:val="540B2793"/>
    <w:rsid w:val="541FB3DB"/>
    <w:rsid w:val="5495E0EB"/>
    <w:rsid w:val="54DFA54C"/>
    <w:rsid w:val="54FD3A0B"/>
    <w:rsid w:val="558A0885"/>
    <w:rsid w:val="55BC38F4"/>
    <w:rsid w:val="55C32893"/>
    <w:rsid w:val="55E932E8"/>
    <w:rsid w:val="55EE2DF8"/>
    <w:rsid w:val="579276FD"/>
    <w:rsid w:val="57959ADA"/>
    <w:rsid w:val="57B18D2C"/>
    <w:rsid w:val="58FE1C86"/>
    <w:rsid w:val="5935D33B"/>
    <w:rsid w:val="5A38B73C"/>
    <w:rsid w:val="5A6835CC"/>
    <w:rsid w:val="5AC613CE"/>
    <w:rsid w:val="5AD33963"/>
    <w:rsid w:val="5CD08103"/>
    <w:rsid w:val="5D23C27B"/>
    <w:rsid w:val="5E3FD44C"/>
    <w:rsid w:val="5E42617A"/>
    <w:rsid w:val="5E9353DA"/>
    <w:rsid w:val="5EBEBAEC"/>
    <w:rsid w:val="5F0845F4"/>
    <w:rsid w:val="5F4D1CD1"/>
    <w:rsid w:val="5F7DD16F"/>
    <w:rsid w:val="605C5719"/>
    <w:rsid w:val="605FC5A6"/>
    <w:rsid w:val="610339CB"/>
    <w:rsid w:val="617F9DD6"/>
    <w:rsid w:val="61D30847"/>
    <w:rsid w:val="622048FF"/>
    <w:rsid w:val="627A8C42"/>
    <w:rsid w:val="6283AA2F"/>
    <w:rsid w:val="62D6BAFC"/>
    <w:rsid w:val="6350363F"/>
    <w:rsid w:val="63BD9E9B"/>
    <w:rsid w:val="64D61178"/>
    <w:rsid w:val="6590A1AE"/>
    <w:rsid w:val="68084C04"/>
    <w:rsid w:val="689BF298"/>
    <w:rsid w:val="68A3793D"/>
    <w:rsid w:val="68CE3F05"/>
    <w:rsid w:val="68DEAA17"/>
    <w:rsid w:val="691E43DB"/>
    <w:rsid w:val="69615FA5"/>
    <w:rsid w:val="699C34A2"/>
    <w:rsid w:val="6ABC7261"/>
    <w:rsid w:val="6B4289C7"/>
    <w:rsid w:val="6B760B86"/>
    <w:rsid w:val="6B8E04F3"/>
    <w:rsid w:val="6BD72259"/>
    <w:rsid w:val="6C0593B7"/>
    <w:rsid w:val="6C7975B9"/>
    <w:rsid w:val="6C7E9FCC"/>
    <w:rsid w:val="6D93DF69"/>
    <w:rsid w:val="6DA9AA9D"/>
    <w:rsid w:val="6DBB4B16"/>
    <w:rsid w:val="6E534ECC"/>
    <w:rsid w:val="6E57B2A9"/>
    <w:rsid w:val="6E8E8F9E"/>
    <w:rsid w:val="6FA63E45"/>
    <w:rsid w:val="6FE28E83"/>
    <w:rsid w:val="6FEF1F2D"/>
    <w:rsid w:val="701D8BCF"/>
    <w:rsid w:val="7086EBB4"/>
    <w:rsid w:val="70DD2A25"/>
    <w:rsid w:val="71F51E01"/>
    <w:rsid w:val="721E05ED"/>
    <w:rsid w:val="7252CAF4"/>
    <w:rsid w:val="72FA23E8"/>
    <w:rsid w:val="731BF0CA"/>
    <w:rsid w:val="736F8EDD"/>
    <w:rsid w:val="73DC4C86"/>
    <w:rsid w:val="7418EC21"/>
    <w:rsid w:val="7448CBFA"/>
    <w:rsid w:val="74609AFF"/>
    <w:rsid w:val="74B0480A"/>
    <w:rsid w:val="74FAF236"/>
    <w:rsid w:val="754E24E7"/>
    <w:rsid w:val="756BC6D0"/>
    <w:rsid w:val="75A31ED0"/>
    <w:rsid w:val="76384B66"/>
    <w:rsid w:val="763C0CFE"/>
    <w:rsid w:val="7641AF55"/>
    <w:rsid w:val="7651EE62"/>
    <w:rsid w:val="766D24AD"/>
    <w:rsid w:val="76AAC682"/>
    <w:rsid w:val="7737A6D2"/>
    <w:rsid w:val="7768F7BF"/>
    <w:rsid w:val="7772E34F"/>
    <w:rsid w:val="77C65C86"/>
    <w:rsid w:val="77E7F6F2"/>
    <w:rsid w:val="780AB935"/>
    <w:rsid w:val="787EF3C2"/>
    <w:rsid w:val="78D1684C"/>
    <w:rsid w:val="78D57612"/>
    <w:rsid w:val="78FA0FA7"/>
    <w:rsid w:val="7949345D"/>
    <w:rsid w:val="7958311E"/>
    <w:rsid w:val="795F6522"/>
    <w:rsid w:val="79D9979C"/>
    <w:rsid w:val="7A4825BC"/>
    <w:rsid w:val="7A837895"/>
    <w:rsid w:val="7BE0AB9D"/>
    <w:rsid w:val="7C4F0C56"/>
    <w:rsid w:val="7C875FF9"/>
    <w:rsid w:val="7CD39453"/>
    <w:rsid w:val="7CDDA58D"/>
    <w:rsid w:val="7CE2D2BC"/>
    <w:rsid w:val="7D1C905A"/>
    <w:rsid w:val="7D7A1CC3"/>
    <w:rsid w:val="7E40D5CA"/>
    <w:rsid w:val="7E92EECA"/>
    <w:rsid w:val="7F161458"/>
    <w:rsid w:val="7F240115"/>
    <w:rsid w:val="7F69AE7C"/>
    <w:rsid w:val="7F7EAF6A"/>
    <w:rsid w:val="7FF0426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A59D"/>
  <w15:chartTrackingRefBased/>
  <w15:docId w15:val="{BC9C2CCE-0E47-4B59-AF87-8BCB5C2A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97"/>
    <w:pPr>
      <w:jc w:val="both"/>
    </w:pPr>
    <w:rPr>
      <w:rFonts w:ascii="Aptos Light" w:hAnsi="Aptos Light" w:cs="Arial (Cuerpo en alfabeto compl"/>
      <w:color w:val="404040" w:themeColor="text1" w:themeTint="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467"/>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4F2CFA"/>
    <w:pPr>
      <w:tabs>
        <w:tab w:val="center" w:pos="4419"/>
        <w:tab w:val="right" w:pos="8838"/>
      </w:tabs>
    </w:pPr>
  </w:style>
  <w:style w:type="character" w:customStyle="1" w:styleId="EncabezadoCar">
    <w:name w:val="Encabezado Car"/>
    <w:basedOn w:val="Fuentedeprrafopredeter"/>
    <w:link w:val="Encabezado"/>
    <w:uiPriority w:val="99"/>
    <w:rsid w:val="004F2CFA"/>
  </w:style>
  <w:style w:type="paragraph" w:styleId="Piedepgina">
    <w:name w:val="footer"/>
    <w:basedOn w:val="Normal"/>
    <w:link w:val="PiedepginaCar"/>
    <w:uiPriority w:val="99"/>
    <w:unhideWhenUsed/>
    <w:rsid w:val="004F2CFA"/>
    <w:pPr>
      <w:tabs>
        <w:tab w:val="center" w:pos="4419"/>
        <w:tab w:val="right" w:pos="8838"/>
      </w:tabs>
    </w:pPr>
  </w:style>
  <w:style w:type="character" w:customStyle="1" w:styleId="PiedepginaCar">
    <w:name w:val="Pie de página Car"/>
    <w:basedOn w:val="Fuentedeprrafopredeter"/>
    <w:link w:val="Piedepgina"/>
    <w:uiPriority w:val="99"/>
    <w:rsid w:val="004F2CFA"/>
  </w:style>
  <w:style w:type="table" w:styleId="Tablaconcuadrcula">
    <w:name w:val="Table Grid"/>
    <w:basedOn w:val="Tablanormal"/>
    <w:uiPriority w:val="39"/>
    <w:rsid w:val="00C4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336F2"/>
  </w:style>
  <w:style w:type="paragraph" w:styleId="Prrafodelista">
    <w:name w:val="List Paragraph"/>
    <w:basedOn w:val="Normal"/>
    <w:uiPriority w:val="34"/>
    <w:qFormat/>
    <w:rsid w:val="000D46F6"/>
    <w:pPr>
      <w:ind w:left="720"/>
      <w:contextualSpacing/>
    </w:pPr>
  </w:style>
  <w:style w:type="paragraph" w:styleId="Textodeglobo">
    <w:name w:val="Balloon Text"/>
    <w:basedOn w:val="Normal"/>
    <w:link w:val="TextodegloboCar"/>
    <w:uiPriority w:val="99"/>
    <w:semiHidden/>
    <w:unhideWhenUsed/>
    <w:rsid w:val="009567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7FA"/>
    <w:rPr>
      <w:rFonts w:ascii="Segoe UI" w:hAnsi="Segoe UI" w:cs="Segoe UI"/>
      <w:sz w:val="18"/>
      <w:szCs w:val="18"/>
    </w:rPr>
  </w:style>
  <w:style w:type="character" w:styleId="Refdecomentario">
    <w:name w:val="annotation reference"/>
    <w:basedOn w:val="Fuentedeprrafopredeter"/>
    <w:uiPriority w:val="99"/>
    <w:semiHidden/>
    <w:unhideWhenUsed/>
    <w:rsid w:val="000F4AC3"/>
    <w:rPr>
      <w:sz w:val="16"/>
      <w:szCs w:val="16"/>
    </w:rPr>
  </w:style>
  <w:style w:type="paragraph" w:styleId="Textocomentario">
    <w:name w:val="annotation text"/>
    <w:basedOn w:val="Normal"/>
    <w:link w:val="TextocomentarioCar"/>
    <w:uiPriority w:val="99"/>
    <w:unhideWhenUsed/>
    <w:rsid w:val="000F4AC3"/>
    <w:rPr>
      <w:sz w:val="20"/>
      <w:szCs w:val="20"/>
    </w:rPr>
  </w:style>
  <w:style w:type="character" w:customStyle="1" w:styleId="TextocomentarioCar">
    <w:name w:val="Texto comentario Car"/>
    <w:basedOn w:val="Fuentedeprrafopredeter"/>
    <w:link w:val="Textocomentario"/>
    <w:uiPriority w:val="99"/>
    <w:rsid w:val="000F4AC3"/>
    <w:rPr>
      <w:sz w:val="20"/>
      <w:szCs w:val="20"/>
    </w:rPr>
  </w:style>
  <w:style w:type="paragraph" w:styleId="Asuntodelcomentario">
    <w:name w:val="annotation subject"/>
    <w:basedOn w:val="Textocomentario"/>
    <w:next w:val="Textocomentario"/>
    <w:link w:val="AsuntodelcomentarioCar"/>
    <w:uiPriority w:val="99"/>
    <w:semiHidden/>
    <w:unhideWhenUsed/>
    <w:rsid w:val="000F4AC3"/>
    <w:rPr>
      <w:b/>
      <w:bCs/>
    </w:rPr>
  </w:style>
  <w:style w:type="character" w:customStyle="1" w:styleId="AsuntodelcomentarioCar">
    <w:name w:val="Asunto del comentario Car"/>
    <w:basedOn w:val="TextocomentarioCar"/>
    <w:link w:val="Asuntodelcomentario"/>
    <w:uiPriority w:val="99"/>
    <w:semiHidden/>
    <w:rsid w:val="000F4AC3"/>
    <w:rPr>
      <w:b/>
      <w:bCs/>
      <w:sz w:val="20"/>
      <w:szCs w:val="20"/>
    </w:rPr>
  </w:style>
  <w:style w:type="paragraph" w:styleId="Revisin">
    <w:name w:val="Revision"/>
    <w:hidden/>
    <w:uiPriority w:val="99"/>
    <w:semiHidden/>
    <w:rsid w:val="00F446F2"/>
  </w:style>
  <w:style w:type="character" w:styleId="Mencionar">
    <w:name w:val="Mention"/>
    <w:basedOn w:val="Fuentedeprrafopredeter"/>
    <w:uiPriority w:val="99"/>
    <w:unhideWhenUsed/>
    <w:rsid w:val="00D31BC2"/>
    <w:rPr>
      <w:color w:val="2B579A"/>
      <w:shd w:val="clear" w:color="auto" w:fill="E1DFDD"/>
    </w:rPr>
  </w:style>
  <w:style w:type="character" w:styleId="Mencinsinresolver">
    <w:name w:val="Unresolved Mention"/>
    <w:basedOn w:val="Fuentedeprrafopredeter"/>
    <w:uiPriority w:val="99"/>
    <w:unhideWhenUsed/>
    <w:rsid w:val="0086776C"/>
    <w:rPr>
      <w:color w:val="605E5C"/>
      <w:shd w:val="clear" w:color="auto" w:fill="E1DFDD"/>
    </w:rPr>
  </w:style>
  <w:style w:type="paragraph" w:styleId="Textoindependiente">
    <w:name w:val="Body Text"/>
    <w:basedOn w:val="Normal"/>
    <w:link w:val="TextoindependienteCar"/>
    <w:uiPriority w:val="1"/>
    <w:qFormat/>
    <w:rsid w:val="00C032AC"/>
    <w:pPr>
      <w:widowControl w:val="0"/>
      <w:autoSpaceDE w:val="0"/>
      <w:autoSpaceDN w:val="0"/>
    </w:pPr>
    <w:rPr>
      <w:rFonts w:ascii="Calibri" w:eastAsia="Calibri" w:hAnsi="Calibri" w:cs="Calibri"/>
      <w:szCs w:val="22"/>
      <w:lang w:val="en-US"/>
    </w:rPr>
  </w:style>
  <w:style w:type="character" w:customStyle="1" w:styleId="TextoindependienteCar">
    <w:name w:val="Texto independiente Car"/>
    <w:basedOn w:val="Fuentedeprrafopredeter"/>
    <w:link w:val="Textoindependiente"/>
    <w:uiPriority w:val="1"/>
    <w:rsid w:val="00C032AC"/>
    <w:rPr>
      <w:rFonts w:ascii="Calibri" w:eastAsia="Calibri" w:hAnsi="Calibri" w:cs="Calibri"/>
      <w:sz w:val="22"/>
      <w:szCs w:val="22"/>
      <w:lang w:val="en-US"/>
    </w:rPr>
  </w:style>
  <w:style w:type="character" w:styleId="Hipervnculo">
    <w:name w:val="Hyperlink"/>
    <w:basedOn w:val="Fuentedeprrafopredeter"/>
    <w:uiPriority w:val="99"/>
    <w:unhideWhenUsed/>
    <w:rsid w:val="002A6A9A"/>
    <w:rPr>
      <w:color w:val="002FA7" w:themeColor="hyperlink"/>
      <w:u w:val="single"/>
    </w:rPr>
  </w:style>
  <w:style w:type="character" w:customStyle="1" w:styleId="normaltextrun">
    <w:name w:val="normaltextrun"/>
    <w:basedOn w:val="Fuentedeprrafopredeter"/>
    <w:rsid w:val="00BC686B"/>
  </w:style>
  <w:style w:type="character" w:styleId="Hipervnculovisitado">
    <w:name w:val="FollowedHyperlink"/>
    <w:basedOn w:val="Fuentedeprrafopredeter"/>
    <w:uiPriority w:val="99"/>
    <w:semiHidden/>
    <w:unhideWhenUsed/>
    <w:rsid w:val="00D917DB"/>
    <w:rPr>
      <w:color w:val="002FA7" w:themeColor="followedHyperlink"/>
      <w:u w:val="single"/>
    </w:rPr>
  </w:style>
  <w:style w:type="paragraph" w:styleId="Textonotapie">
    <w:name w:val="footnote text"/>
    <w:basedOn w:val="Normal"/>
    <w:link w:val="TextonotapieCar"/>
    <w:uiPriority w:val="99"/>
    <w:semiHidden/>
    <w:unhideWhenUsed/>
    <w:rsid w:val="00945EA8"/>
    <w:rPr>
      <w:sz w:val="20"/>
      <w:szCs w:val="20"/>
    </w:rPr>
  </w:style>
  <w:style w:type="character" w:customStyle="1" w:styleId="TextonotapieCar">
    <w:name w:val="Texto nota pie Car"/>
    <w:basedOn w:val="Fuentedeprrafopredeter"/>
    <w:link w:val="Textonotapie"/>
    <w:uiPriority w:val="99"/>
    <w:semiHidden/>
    <w:rsid w:val="00945EA8"/>
    <w:rPr>
      <w:rFonts w:ascii="Aptos Light" w:hAnsi="Aptos Light" w:cs="Arial (Cuerpo en alfabeto compl"/>
      <w:color w:val="404040" w:themeColor="text1" w:themeTint="BF"/>
      <w:sz w:val="20"/>
      <w:szCs w:val="20"/>
    </w:rPr>
  </w:style>
  <w:style w:type="character" w:styleId="Refdenotaalpie">
    <w:name w:val="footnote reference"/>
    <w:basedOn w:val="Fuentedeprrafopredeter"/>
    <w:uiPriority w:val="99"/>
    <w:semiHidden/>
    <w:unhideWhenUsed/>
    <w:rsid w:val="00945EA8"/>
    <w:rPr>
      <w:vertAlign w:val="superscript"/>
    </w:rPr>
  </w:style>
  <w:style w:type="paragraph" w:styleId="Textonotaalfinal">
    <w:name w:val="endnote text"/>
    <w:basedOn w:val="Normal"/>
    <w:link w:val="TextonotaalfinalCar"/>
    <w:uiPriority w:val="99"/>
    <w:unhideWhenUsed/>
    <w:rsid w:val="0000309D"/>
    <w:pPr>
      <w:jc w:val="left"/>
    </w:pPr>
    <w:rPr>
      <w:rFonts w:asciiTheme="minorHAnsi" w:hAnsiTheme="minorHAnsi" w:cstheme="minorBidi"/>
      <w:color w:val="auto"/>
      <w:sz w:val="20"/>
      <w:szCs w:val="20"/>
    </w:rPr>
  </w:style>
  <w:style w:type="character" w:customStyle="1" w:styleId="TextonotaalfinalCar">
    <w:name w:val="Texto nota al final Car"/>
    <w:basedOn w:val="Fuentedeprrafopredeter"/>
    <w:link w:val="Textonotaalfinal"/>
    <w:uiPriority w:val="99"/>
    <w:rsid w:val="000030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073">
      <w:bodyDiv w:val="1"/>
      <w:marLeft w:val="0"/>
      <w:marRight w:val="0"/>
      <w:marTop w:val="0"/>
      <w:marBottom w:val="0"/>
      <w:divBdr>
        <w:top w:val="none" w:sz="0" w:space="0" w:color="auto"/>
        <w:left w:val="none" w:sz="0" w:space="0" w:color="auto"/>
        <w:bottom w:val="none" w:sz="0" w:space="0" w:color="auto"/>
        <w:right w:val="none" w:sz="0" w:space="0" w:color="auto"/>
      </w:divBdr>
    </w:div>
    <w:div w:id="999582182">
      <w:bodyDiv w:val="1"/>
      <w:marLeft w:val="0"/>
      <w:marRight w:val="0"/>
      <w:marTop w:val="0"/>
      <w:marBottom w:val="0"/>
      <w:divBdr>
        <w:top w:val="none" w:sz="0" w:space="0" w:color="auto"/>
        <w:left w:val="none" w:sz="0" w:space="0" w:color="auto"/>
        <w:bottom w:val="none" w:sz="0" w:space="0" w:color="auto"/>
        <w:right w:val="none" w:sz="0" w:space="0" w:color="auto"/>
      </w:divBdr>
      <w:divsChild>
        <w:div w:id="372310418">
          <w:marLeft w:val="0"/>
          <w:marRight w:val="0"/>
          <w:marTop w:val="0"/>
          <w:marBottom w:val="0"/>
          <w:divBdr>
            <w:top w:val="none" w:sz="0" w:space="0" w:color="auto"/>
            <w:left w:val="none" w:sz="0" w:space="0" w:color="auto"/>
            <w:bottom w:val="none" w:sz="0" w:space="0" w:color="auto"/>
            <w:right w:val="none" w:sz="0" w:space="0" w:color="auto"/>
          </w:divBdr>
        </w:div>
      </w:divsChild>
    </w:div>
    <w:div w:id="1603495996">
      <w:bodyDiv w:val="1"/>
      <w:marLeft w:val="0"/>
      <w:marRight w:val="0"/>
      <w:marTop w:val="0"/>
      <w:marBottom w:val="0"/>
      <w:divBdr>
        <w:top w:val="none" w:sz="0" w:space="0" w:color="auto"/>
        <w:left w:val="none" w:sz="0" w:space="0" w:color="auto"/>
        <w:bottom w:val="none" w:sz="0" w:space="0" w:color="auto"/>
        <w:right w:val="none" w:sz="0" w:space="0" w:color="auto"/>
      </w:divBdr>
      <w:divsChild>
        <w:div w:id="165479070">
          <w:marLeft w:val="0"/>
          <w:marRight w:val="0"/>
          <w:marTop w:val="0"/>
          <w:marBottom w:val="0"/>
          <w:divBdr>
            <w:top w:val="none" w:sz="0" w:space="0" w:color="auto"/>
            <w:left w:val="none" w:sz="0" w:space="0" w:color="auto"/>
            <w:bottom w:val="none" w:sz="0" w:space="0" w:color="auto"/>
            <w:right w:val="none" w:sz="0" w:space="0" w:color="auto"/>
          </w:divBdr>
        </w:div>
      </w:divsChild>
    </w:div>
    <w:div w:id="1895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gcompass.com/es/chile/fondos-asset-management/capitalizacion/capitalizacion-latam/compass-latam-equity-fondo-de-inver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VINCI COMPASS">
      <a:dk1>
        <a:srgbClr val="000000"/>
      </a:dk1>
      <a:lt1>
        <a:srgbClr val="FFFFFF"/>
      </a:lt1>
      <a:dk2>
        <a:srgbClr val="00AEEF"/>
      </a:dk2>
      <a:lt2>
        <a:srgbClr val="002FA7"/>
      </a:lt2>
      <a:accent1>
        <a:srgbClr val="0D61E6"/>
      </a:accent1>
      <a:accent2>
        <a:srgbClr val="015C83"/>
      </a:accent2>
      <a:accent3>
        <a:srgbClr val="38A888"/>
      </a:accent3>
      <a:accent4>
        <a:srgbClr val="69BF49"/>
      </a:accent4>
      <a:accent5>
        <a:srgbClr val="8683A3"/>
      </a:accent5>
      <a:accent6>
        <a:srgbClr val="8B3C67"/>
      </a:accent6>
      <a:hlink>
        <a:srgbClr val="002FA7"/>
      </a:hlink>
      <a:folHlink>
        <a:srgbClr val="002F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d90a3d6-a44c-409d-a43f-03274dea5043">
      <UserInfo>
        <DisplayName>Tomas Guzman - Compass</DisplayName>
        <AccountId>203</AccountId>
        <AccountType/>
      </UserInfo>
      <UserInfo>
        <DisplayName>Eduardo Aldunce - Compass</DisplayName>
        <AccountId>112</AccountId>
        <AccountType/>
      </UserInfo>
      <UserInfo>
        <DisplayName>Tomas Venezian - Compass</DisplayName>
        <AccountId>121</AccountId>
        <AccountType/>
      </UserInfo>
      <UserInfo>
        <DisplayName>Nicolas Garcia-Huidobro - Compass</DisplayName>
        <AccountId>122</AccountId>
        <AccountType/>
      </UserInfo>
      <UserInfo>
        <DisplayName>Luis Pardo - Compass</DisplayName>
        <AccountId>166</AccountId>
        <AccountType/>
      </UserInfo>
      <UserInfo>
        <DisplayName>Jose Andrews - Compass</DisplayName>
        <AccountId>436</AccountId>
        <AccountType/>
      </UserInfo>
      <UserInfo>
        <DisplayName>Gonzalo Bardin - Compass</DisplayName>
        <AccountId>744</AccountId>
        <AccountType/>
      </UserInfo>
    </SharedWithUsers>
    <TaxCatchAll xmlns="7c021886-8276-4343-9dac-4899aae25304" xsi:nil="true"/>
    <lcf76f155ced4ddcb4097134ff3c332f xmlns="24cef8f4-f3bd-4b96-93c8-74ab1f9c1b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43DEB8FF1BEC34FA18EE4B8CC111980" ma:contentTypeVersion="18" ma:contentTypeDescription="Crear nuevo documento." ma:contentTypeScope="" ma:versionID="39e77c8ffc16fb4a09ae174f754af71f">
  <xsd:schema xmlns:xsd="http://www.w3.org/2001/XMLSchema" xmlns:xs="http://www.w3.org/2001/XMLSchema" xmlns:p="http://schemas.microsoft.com/office/2006/metadata/properties" xmlns:ns2="24cef8f4-f3bd-4b96-93c8-74ab1f9c1b5b" xmlns:ns3="bd90a3d6-a44c-409d-a43f-03274dea5043" xmlns:ns4="7c021886-8276-4343-9dac-4899aae25304" targetNamespace="http://schemas.microsoft.com/office/2006/metadata/properties" ma:root="true" ma:fieldsID="aa1e11cf9daa8fd3c6a26bc3a2f41172" ns2:_="" ns3:_="" ns4:_="">
    <xsd:import namespace="24cef8f4-f3bd-4b96-93c8-74ab1f9c1b5b"/>
    <xsd:import namespace="bd90a3d6-a44c-409d-a43f-03274dea5043"/>
    <xsd:import namespace="7c021886-8276-4343-9dac-4899aae25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ef8f4-f3bd-4b96-93c8-74ab1f9c1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8df5329-9c23-409b-974d-9789dd446b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0a3d6-a44c-409d-a43f-03274dea50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21886-8276-4343-9dac-4899aae2530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6c9727-b4d6-4690-85d5-be171f6d22ad}" ma:internalName="TaxCatchAll" ma:showField="CatchAllData" ma:web="7c021886-8276-4343-9dac-4899aae25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4F4D5-2DB8-429C-AB90-63B2F6D3BD0F}">
  <ds:schemaRefs>
    <ds:schemaRef ds:uri="http://schemas.openxmlformats.org/officeDocument/2006/bibliography"/>
  </ds:schemaRefs>
</ds:datastoreItem>
</file>

<file path=customXml/itemProps2.xml><?xml version="1.0" encoding="utf-8"?>
<ds:datastoreItem xmlns:ds="http://schemas.openxmlformats.org/officeDocument/2006/customXml" ds:itemID="{F671DC20-BB6A-4C51-B263-9664B23A7D4A}">
  <ds:schemaRefs>
    <ds:schemaRef ds:uri="http://schemas.microsoft.com/office/2006/metadata/properties"/>
    <ds:schemaRef ds:uri="http://schemas.microsoft.com/office/infopath/2007/PartnerControls"/>
    <ds:schemaRef ds:uri="bd90a3d6-a44c-409d-a43f-03274dea5043"/>
    <ds:schemaRef ds:uri="7c021886-8276-4343-9dac-4899aae25304"/>
    <ds:schemaRef ds:uri="24cef8f4-f3bd-4b96-93c8-74ab1f9c1b5b"/>
  </ds:schemaRefs>
</ds:datastoreItem>
</file>

<file path=customXml/itemProps3.xml><?xml version="1.0" encoding="utf-8"?>
<ds:datastoreItem xmlns:ds="http://schemas.openxmlformats.org/officeDocument/2006/customXml" ds:itemID="{68C87819-C3D6-440A-B8D7-F5AD959968BA}">
  <ds:schemaRefs>
    <ds:schemaRef ds:uri="http://schemas.microsoft.com/sharepoint/v3/contenttype/forms"/>
  </ds:schemaRefs>
</ds:datastoreItem>
</file>

<file path=customXml/itemProps4.xml><?xml version="1.0" encoding="utf-8"?>
<ds:datastoreItem xmlns:ds="http://schemas.openxmlformats.org/officeDocument/2006/customXml" ds:itemID="{765676A4-6DDE-4E07-A869-83735EF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ef8f4-f3bd-4b96-93c8-74ab1f9c1b5b"/>
    <ds:schemaRef ds:uri="bd90a3d6-a44c-409d-a43f-03274dea5043"/>
    <ds:schemaRef ds:uri="7c021886-8276-4343-9dac-4899aae2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1589</Words>
  <Characters>8744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Tapia - Compass Group</dc:creator>
  <cp:keywords/>
  <dc:description/>
  <cp:lastModifiedBy>Pedro Inostroza Ibáñez</cp:lastModifiedBy>
  <cp:revision>7</cp:revision>
  <dcterms:created xsi:type="dcterms:W3CDTF">2025-07-15T15:34:00Z</dcterms:created>
  <dcterms:modified xsi:type="dcterms:W3CDTF">2025-07-15T17:24:00Z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0x010100B43DEB8FF1BEC34FA18EE4B8CC111980</vt:lpwstr>
  </property>
  <property fmtid="{D5CDD505-2E9C-101B-9397-08002B2CF9AE}" pid="3" name="MediaServiceImageTags">
    <vt:lpwstr/>
  </property>
  <property fmtid="{D5CDD505-2E9C-101B-9397-08002B2CF9AE}" pid="4" name="MSIP_Label_70b38fc1-c290-4ac1-afb8-94f2455a05a5_Enabled">
    <vt:lpwstr>true</vt:lpwstr>
  </property>
  <property fmtid="{D5CDD505-2E9C-101B-9397-08002B2CF9AE}" pid="5" name="MSIP_Label_70b38fc1-c290-4ac1-afb8-94f2455a05a5_SetDate">
    <vt:lpwstr>2024-01-15T23:33:58Z</vt:lpwstr>
  </property>
  <property fmtid="{D5CDD505-2E9C-101B-9397-08002B2CF9AE}" pid="6" name="MSIP_Label_70b38fc1-c290-4ac1-afb8-94f2455a05a5_Method">
    <vt:lpwstr>Privileged</vt:lpwstr>
  </property>
  <property fmtid="{D5CDD505-2E9C-101B-9397-08002B2CF9AE}" pid="7" name="MSIP_Label_70b38fc1-c290-4ac1-afb8-94f2455a05a5_Name">
    <vt:lpwstr>70b38fc1-c290-4ac1-afb8-94f2455a05a5</vt:lpwstr>
  </property>
  <property fmtid="{D5CDD505-2E9C-101B-9397-08002B2CF9AE}" pid="8" name="MSIP_Label_70b38fc1-c290-4ac1-afb8-94f2455a05a5_SiteId">
    <vt:lpwstr>cb612d37-461b-4d06-addf-52d3062c0007</vt:lpwstr>
  </property>
  <property fmtid="{D5CDD505-2E9C-101B-9397-08002B2CF9AE}" pid="9" name="MSIP_Label_70b38fc1-c290-4ac1-afb8-94f2455a05a5_ActionId">
    <vt:lpwstr>9c71072e-5e11-452d-a6f3-76b0b9878e82</vt:lpwstr>
  </property>
  <property fmtid="{D5CDD505-2E9C-101B-9397-08002B2CF9AE}" pid="10" name="MSIP_Label_70b38fc1-c290-4ac1-afb8-94f2455a05a5_ContentBits">
    <vt:lpwstr>0</vt:lpwstr>
  </property>
</Properties>
</file>